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66" w:rsidRDefault="00D32866" w:rsidP="009529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5AB2" w:rsidRPr="00AA3EF6" w:rsidRDefault="00765AB2" w:rsidP="00765AB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>УДОБЕНСКОГО СЕЛЬСОВЕТА</w:t>
      </w: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>ГОРШЕЧЕНСКОГО РАЙОНА   КУРСКОЙ ОБЛАСТИ</w:t>
      </w: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AB2" w:rsidRPr="00AA3EF6" w:rsidRDefault="00765AB2" w:rsidP="00765AB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65AB2" w:rsidRPr="00AA3EF6" w:rsidRDefault="00FC67D7" w:rsidP="00765AB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09.11.2023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765AB2" w:rsidRPr="00AA3EF6" w:rsidRDefault="00765AB2" w:rsidP="00765AB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65AB2" w:rsidRPr="00AA3EF6" w:rsidRDefault="00765AB2" w:rsidP="00765AB2">
      <w:pPr>
        <w:ind w:left="567" w:right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«Энергосбережение и повышение энергетической эффективности Удобенского сельсовета Горшеченского района Курской области"</w:t>
      </w:r>
    </w:p>
    <w:p w:rsidR="00765AB2" w:rsidRPr="00AA3EF6" w:rsidRDefault="00765AB2" w:rsidP="00765AB2">
      <w:pPr>
        <w:ind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A3E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A3EF6">
        <w:rPr>
          <w:rFonts w:ascii="Times New Roman" w:hAnsi="Times New Roman" w:cs="Times New Roman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Федеральным </w:t>
      </w:r>
      <w:hyperlink r:id="rId9" w:history="1">
        <w:r w:rsidRPr="00AA3EF6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3EF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Федерации», Уставом Удобенского </w:t>
      </w:r>
      <w:proofErr w:type="gramStart"/>
      <w:r w:rsidRPr="00AA3EF6">
        <w:rPr>
          <w:rFonts w:ascii="Times New Roman" w:hAnsi="Times New Roman" w:cs="Times New Roman"/>
          <w:sz w:val="28"/>
          <w:szCs w:val="28"/>
        </w:rPr>
        <w:t xml:space="preserve">сельсовета,   </w:t>
      </w:r>
      <w:proofErr w:type="gramEnd"/>
      <w:r w:rsidRPr="00AA3EF6"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ПОСТАНОВЛЯЮ:</w:t>
      </w:r>
    </w:p>
    <w:p w:rsidR="00765AB2" w:rsidRPr="00AA3EF6" w:rsidRDefault="0064395F" w:rsidP="00765AB2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A3EF6">
        <w:rPr>
          <w:rFonts w:ascii="Times New Roman" w:hAnsi="Times New Roman" w:cs="Times New Roman"/>
          <w:sz w:val="28"/>
          <w:szCs w:val="28"/>
        </w:rPr>
        <w:t>Постановление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№</w:t>
      </w:r>
      <w:r w:rsidR="00FC67D7">
        <w:rPr>
          <w:rFonts w:ascii="Times New Roman" w:hAnsi="Times New Roman" w:cs="Times New Roman"/>
          <w:sz w:val="28"/>
          <w:szCs w:val="28"/>
        </w:rPr>
        <w:t>23 от 09.11.2022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 </w:t>
      </w:r>
      <w:r w:rsidRPr="00AA3EF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65AB2" w:rsidRPr="00AA3EF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Удобенского сельсовета Горшеченского района Курской области" в паспорте программы, в строке «Объемы и источники</w:t>
      </w:r>
      <w:r w:rsidR="00FC67D7">
        <w:rPr>
          <w:rFonts w:ascii="Times New Roman" w:hAnsi="Times New Roman" w:cs="Times New Roman"/>
          <w:sz w:val="28"/>
          <w:szCs w:val="28"/>
        </w:rPr>
        <w:t xml:space="preserve"> финансирования программы» 30000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   рублей в том числе:</w:t>
      </w:r>
    </w:p>
    <w:p w:rsidR="00765AB2" w:rsidRPr="00AA3EF6" w:rsidRDefault="00FC67D7" w:rsidP="00765AB2">
      <w:pPr>
        <w:ind w:left="942" w:righ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2024 - 10</w:t>
      </w:r>
      <w:r w:rsidR="00765AB2" w:rsidRPr="00AA3EF6">
        <w:rPr>
          <w:rFonts w:ascii="Times New Roman" w:hAnsi="Times New Roman" w:cs="Times New Roman"/>
          <w:sz w:val="28"/>
          <w:szCs w:val="28"/>
        </w:rPr>
        <w:t>000 рублей</w:t>
      </w:r>
    </w:p>
    <w:p w:rsidR="00765AB2" w:rsidRPr="00AA3EF6" w:rsidRDefault="00765AB2" w:rsidP="00765AB2">
      <w:pPr>
        <w:ind w:left="942"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>202</w:t>
      </w:r>
      <w:r w:rsidR="00FC67D7">
        <w:rPr>
          <w:rFonts w:ascii="Times New Roman" w:hAnsi="Times New Roman" w:cs="Times New Roman"/>
          <w:sz w:val="28"/>
          <w:szCs w:val="28"/>
        </w:rPr>
        <w:t>5</w:t>
      </w:r>
      <w:r w:rsidRPr="00AA3EF6">
        <w:rPr>
          <w:rFonts w:ascii="Times New Roman" w:hAnsi="Times New Roman" w:cs="Times New Roman"/>
          <w:sz w:val="28"/>
          <w:szCs w:val="28"/>
        </w:rPr>
        <w:t xml:space="preserve"> – 10000 рублей</w:t>
      </w:r>
    </w:p>
    <w:p w:rsidR="00765AB2" w:rsidRPr="00AA3EF6" w:rsidRDefault="00FC67D7" w:rsidP="00765AB2">
      <w:pPr>
        <w:ind w:left="942" w:righ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– 10000 рублей</w:t>
      </w:r>
    </w:p>
    <w:p w:rsidR="00765AB2" w:rsidRPr="00AA3EF6" w:rsidRDefault="00765AB2" w:rsidP="00765AB2">
      <w:pPr>
        <w:numPr>
          <w:ilvl w:val="0"/>
          <w:numId w:val="35"/>
        </w:numPr>
        <w:spacing w:after="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>Постановле</w:t>
      </w:r>
      <w:r w:rsidR="00FC67D7">
        <w:rPr>
          <w:rFonts w:ascii="Times New Roman" w:hAnsi="Times New Roman" w:cs="Times New Roman"/>
          <w:sz w:val="28"/>
          <w:szCs w:val="28"/>
        </w:rPr>
        <w:t>ние вступает в силу с 01.01.2024</w:t>
      </w:r>
      <w:r w:rsidRPr="00AA3EF6">
        <w:rPr>
          <w:rFonts w:ascii="Times New Roman" w:hAnsi="Times New Roman" w:cs="Times New Roman"/>
          <w:sz w:val="28"/>
          <w:szCs w:val="28"/>
        </w:rPr>
        <w:t xml:space="preserve"> года, подлежит обнародованию на информационных стендах и размещению на сайте Администрации Удобенского сельсовета.</w:t>
      </w:r>
    </w:p>
    <w:p w:rsidR="00765AB2" w:rsidRDefault="00765AB2" w:rsidP="00765AB2">
      <w:pPr>
        <w:numPr>
          <w:ilvl w:val="0"/>
          <w:numId w:val="35"/>
        </w:numPr>
        <w:spacing w:after="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C67D7" w:rsidRPr="00AA3EF6" w:rsidRDefault="00FC67D7" w:rsidP="00FC67D7">
      <w:pPr>
        <w:spacing w:after="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</w:p>
    <w:p w:rsidR="00765AB2" w:rsidRPr="00AA3EF6" w:rsidRDefault="00FC67D7" w:rsidP="00765AB2">
      <w:pPr>
        <w:ind w:left="567" w:right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AA3EF6">
        <w:rPr>
          <w:rFonts w:ascii="Times New Roman" w:hAnsi="Times New Roman" w:cs="Times New Roman"/>
          <w:sz w:val="28"/>
          <w:szCs w:val="28"/>
        </w:rPr>
        <w:t>Удобенского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Е.Е.Легощина</w:t>
      </w:r>
    </w:p>
    <w:p w:rsidR="00765AB2" w:rsidRDefault="00765AB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Default="00765AB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Default="00765AB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C3178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03D5C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FC67D7">
        <w:rPr>
          <w:rFonts w:ascii="Times New Roman" w:hAnsi="Times New Roman" w:cs="Times New Roman"/>
          <w:sz w:val="28"/>
          <w:szCs w:val="28"/>
        </w:rPr>
        <w:t>4-2026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>Удобенского сельсовета Горшеченского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67D7"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FC67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>Удобенск</w:t>
            </w:r>
            <w:r w:rsidR="00C317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7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FC67D7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36B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2A736B"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FC67D7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36B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A3" w:rsidRPr="002D6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2A736B"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FC67D7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36B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2A736B"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ED4" w:rsidRDefault="004F0ED4" w:rsidP="004F0ED4">
      <w:pPr>
        <w:tabs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 w:rsidP="004F0ED4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4F0ED4">
        <w:rPr>
          <w:rFonts w:ascii="Times New Roman" w:hAnsi="Times New Roman" w:cs="Times New Roman"/>
          <w:sz w:val="28"/>
          <w:szCs w:val="28"/>
        </w:rPr>
        <w:br w:type="page"/>
      </w:r>
      <w:r w:rsidR="004F0ED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A736B" w:rsidRPr="004C0688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692118" w:rsidRDefault="00665CD8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C3178B" w:rsidRDefault="00C3178B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8B">
        <w:rPr>
          <w:rFonts w:ascii="Times New Roman" w:hAnsi="Times New Roman" w:cs="Times New Roman"/>
          <w:sz w:val="28"/>
          <w:szCs w:val="28"/>
        </w:rPr>
        <w:t xml:space="preserve">Удобенский сельсовет </w:t>
      </w:r>
      <w:r w:rsidR="00A37345" w:rsidRPr="00C3178B">
        <w:rPr>
          <w:rFonts w:ascii="Times New Roman" w:hAnsi="Times New Roman" w:cs="Times New Roman"/>
          <w:sz w:val="28"/>
          <w:szCs w:val="28"/>
        </w:rPr>
        <w:t xml:space="preserve">входит в состав </w:t>
      </w:r>
      <w:r w:rsidRPr="00C3178B">
        <w:rPr>
          <w:rFonts w:ascii="Times New Roman" w:hAnsi="Times New Roman" w:cs="Times New Roman"/>
          <w:sz w:val="28"/>
          <w:szCs w:val="28"/>
        </w:rPr>
        <w:t xml:space="preserve">Горшеченского </w:t>
      </w:r>
      <w:r w:rsidR="00A37345" w:rsidRPr="00C3178B">
        <w:rPr>
          <w:rFonts w:ascii="Times New Roman" w:hAnsi="Times New Roman" w:cs="Times New Roman"/>
          <w:sz w:val="28"/>
          <w:szCs w:val="28"/>
        </w:rPr>
        <w:t xml:space="preserve">района Курской области. </w:t>
      </w:r>
    </w:p>
    <w:p w:rsidR="00542506" w:rsidRPr="00C3178B" w:rsidRDefault="00542506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178B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proofErr w:type="gramStart"/>
      <w:r w:rsidRPr="00C3178B">
        <w:rPr>
          <w:rFonts w:ascii="Times New Roman" w:hAnsi="Times New Roman" w:cs="Times New Roman"/>
          <w:sz w:val="28"/>
          <w:szCs w:val="28"/>
        </w:rPr>
        <w:t>района  располагается</w:t>
      </w:r>
      <w:proofErr w:type="gramEnd"/>
      <w:r w:rsidRPr="00C3178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3178B" w:rsidRPr="00C3178B">
        <w:rPr>
          <w:rFonts w:ascii="Times New Roman" w:eastAsia="Calibri" w:hAnsi="Times New Roman" w:cs="Times New Roman"/>
          <w:sz w:val="28"/>
          <w:szCs w:val="28"/>
        </w:rPr>
        <w:t>306816 Курская область, Горшеченский район, Удобенский сельсовет, с. Удобное, ул. Новая, д. 2</w:t>
      </w:r>
      <w:r w:rsidRPr="00C3178B">
        <w:rPr>
          <w:rFonts w:ascii="Times New Roman" w:hAnsi="Times New Roman" w:cs="Times New Roman"/>
          <w:sz w:val="28"/>
          <w:szCs w:val="28"/>
        </w:rPr>
        <w:t>.</w:t>
      </w:r>
    </w:p>
    <w:p w:rsidR="00692118" w:rsidRPr="00C3178B" w:rsidRDefault="00692118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3178B">
        <w:rPr>
          <w:rFonts w:ascii="Times New Roman" w:hAnsi="Times New Roman" w:cs="Times New Roman"/>
          <w:sz w:val="28"/>
          <w:szCs w:val="28"/>
        </w:rPr>
        <w:t>состав  территории</w:t>
      </w:r>
      <w:proofErr w:type="gramEnd"/>
      <w:r w:rsidRPr="00C3178B">
        <w:rPr>
          <w:rFonts w:ascii="Times New Roman" w:hAnsi="Times New Roman" w:cs="Times New Roman"/>
          <w:sz w:val="28"/>
          <w:szCs w:val="28"/>
        </w:rPr>
        <w:t xml:space="preserve">  </w:t>
      </w:r>
      <w:r w:rsidR="00C3178B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C3178B">
        <w:rPr>
          <w:rFonts w:ascii="Times New Roman" w:hAnsi="Times New Roman" w:cs="Times New Roman"/>
          <w:sz w:val="28"/>
          <w:szCs w:val="28"/>
        </w:rPr>
        <w:t xml:space="preserve">района входят следующие населенные пункты: </w:t>
      </w:r>
      <w:r w:rsidR="00C3178B" w:rsidRPr="00C3178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с. Удобное, д. Просторное, д. Ивановка, д. Шеенка, д. Орловка, д. Ряполово, д. Тимофеевка, д. Михайловка</w:t>
      </w:r>
      <w:r w:rsidR="00EE016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, д. Бабанино</w:t>
      </w:r>
      <w:r w:rsidRPr="00C3178B">
        <w:rPr>
          <w:rFonts w:ascii="Times New Roman" w:hAnsi="Times New Roman" w:cs="Times New Roman"/>
          <w:sz w:val="28"/>
          <w:szCs w:val="28"/>
        </w:rPr>
        <w:t>.</w:t>
      </w:r>
    </w:p>
    <w:p w:rsidR="00692118" w:rsidRPr="00C3178B" w:rsidRDefault="00692118" w:rsidP="00C31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8B">
        <w:rPr>
          <w:rFonts w:ascii="Times New Roman" w:hAnsi="Times New Roman" w:cs="Times New Roman"/>
          <w:sz w:val="28"/>
          <w:szCs w:val="28"/>
        </w:rPr>
        <w:t xml:space="preserve">  Изменение границ </w:t>
      </w:r>
      <w:r w:rsidR="00C3178B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C3178B">
        <w:rPr>
          <w:rFonts w:ascii="Times New Roman" w:hAnsi="Times New Roman" w:cs="Times New Roman"/>
          <w:sz w:val="28"/>
          <w:szCs w:val="28"/>
        </w:rPr>
        <w:t xml:space="preserve">района осуществляется в соответствии с Федеральным законом «Об общих принципах организации местного самоуправления в Российской Федерации», законом Курской области по инициативе населения </w:t>
      </w:r>
      <w:r w:rsidR="00C3178B" w:rsidRPr="00C3178B">
        <w:rPr>
          <w:rFonts w:ascii="Times New Roman" w:hAnsi="Times New Roman" w:cs="Times New Roman"/>
          <w:sz w:val="28"/>
          <w:szCs w:val="28"/>
        </w:rPr>
        <w:t>Удобенского сельсовета</w:t>
      </w:r>
      <w:r w:rsidRPr="00C3178B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C3178B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C3178B">
        <w:rPr>
          <w:rFonts w:ascii="Times New Roman" w:hAnsi="Times New Roman" w:cs="Times New Roman"/>
          <w:sz w:val="28"/>
          <w:szCs w:val="28"/>
        </w:rPr>
        <w:t>района, органов государственной власти Курской области, федеральных органов государственной власти.</w:t>
      </w:r>
    </w:p>
    <w:p w:rsidR="00692118" w:rsidRPr="00692118" w:rsidRDefault="00692118" w:rsidP="00C31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18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r w:rsidR="00C3178B" w:rsidRPr="00C3178B">
        <w:rPr>
          <w:rFonts w:ascii="Times New Roman" w:hAnsi="Times New Roman" w:cs="Times New Roman"/>
          <w:sz w:val="28"/>
          <w:szCs w:val="28"/>
        </w:rPr>
        <w:t>Удобенского</w:t>
      </w:r>
      <w:r w:rsidRPr="00692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E016E">
        <w:rPr>
          <w:rFonts w:ascii="Times New Roman" w:hAnsi="Times New Roman" w:cs="Times New Roman"/>
          <w:sz w:val="28"/>
          <w:szCs w:val="28"/>
        </w:rPr>
        <w:t>Горшеченского</w:t>
      </w:r>
      <w:r w:rsidRPr="00692118">
        <w:rPr>
          <w:rFonts w:ascii="Times New Roman" w:hAnsi="Times New Roman" w:cs="Times New Roman"/>
          <w:sz w:val="28"/>
          <w:szCs w:val="28"/>
        </w:rPr>
        <w:t xml:space="preserve"> района является</w:t>
      </w:r>
      <w:r w:rsidR="00C3178B" w:rsidRPr="00C3178B">
        <w:rPr>
          <w:rFonts w:ascii="Times New Roman" w:eastAsia="Calibri" w:hAnsi="Times New Roman" w:cs="Times New Roman"/>
          <w:sz w:val="28"/>
          <w:szCs w:val="28"/>
        </w:rPr>
        <w:t>, с. Удобное</w:t>
      </w:r>
      <w:r w:rsidRPr="00692118">
        <w:rPr>
          <w:rFonts w:ascii="Times New Roman" w:hAnsi="Times New Roman" w:cs="Times New Roman"/>
          <w:sz w:val="28"/>
          <w:szCs w:val="28"/>
        </w:rPr>
        <w:t>.</w:t>
      </w:r>
    </w:p>
    <w:p w:rsidR="00542506" w:rsidRPr="00F430D5" w:rsidRDefault="00542506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r w:rsidR="00B42382">
        <w:rPr>
          <w:rFonts w:ascii="Times New Roman" w:eastAsia="Calibri" w:hAnsi="Times New Roman" w:cs="Times New Roman"/>
          <w:sz w:val="28"/>
          <w:szCs w:val="28"/>
        </w:rPr>
        <w:t>Удобенского</w:t>
      </w:r>
      <w:r w:rsidR="0088354A" w:rsidRPr="00F430D5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сельсовета по решению вопросов местного значения: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1. В целях решения вопросов местного значения органы местного самоуправления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 обладают следующими полномочиями: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1) принятие Устава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 и внесение в него изменений и дополнений, издание муниципальных правовых актов;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2) установление официальных символов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формирование и размещение муниципального заказа;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lastRenderedPageBreak/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случаях, если указанные полномочия полностью или частично не переданы органам местного самоуправления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 органам местного самоуправления </w:t>
      </w:r>
      <w:r w:rsidR="006D2C63">
        <w:rPr>
          <w:rFonts w:ascii="Times New Roman" w:hAnsi="Times New Roman" w:cs="Times New Roman"/>
          <w:sz w:val="28"/>
          <w:szCs w:val="28"/>
        </w:rPr>
        <w:t xml:space="preserve">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 Курской области, в состав которого входит </w:t>
      </w:r>
      <w:r w:rsidR="006D2C63" w:rsidRPr="00C3178B">
        <w:rPr>
          <w:rFonts w:ascii="Times New Roman" w:hAnsi="Times New Roman" w:cs="Times New Roman"/>
          <w:sz w:val="28"/>
          <w:szCs w:val="28"/>
        </w:rPr>
        <w:t>Удобенск</w:t>
      </w:r>
      <w:r w:rsidR="006D2C63">
        <w:rPr>
          <w:rFonts w:ascii="Times New Roman" w:hAnsi="Times New Roman" w:cs="Times New Roman"/>
          <w:sz w:val="28"/>
          <w:szCs w:val="28"/>
        </w:rPr>
        <w:t>ий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района, на основе соглашения;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6) полномочиями по организации теплоснабжения, предусмотренными Федеральным законом «О теплоснабжении»;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района, преобразования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8) принятие и организация выполнения планов и программ комплексного социально-экономического развития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района, а также организация сбора статистических показателей, характеризующих состояние экономики и социальной сферы </w:t>
      </w:r>
      <w:r w:rsidR="006D2C63" w:rsidRPr="00C3178B">
        <w:rPr>
          <w:rFonts w:ascii="Times New Roman" w:hAnsi="Times New Roman" w:cs="Times New Roman"/>
          <w:sz w:val="28"/>
          <w:szCs w:val="28"/>
        </w:rPr>
        <w:t>Удобенского сельсовета Горшеченского</w:t>
      </w:r>
      <w:r w:rsidRPr="00F430D5">
        <w:rPr>
          <w:rFonts w:ascii="Times New Roman" w:hAnsi="Times New Roman" w:cs="Times New Roman"/>
          <w:sz w:val="28"/>
          <w:szCs w:val="28"/>
        </w:rPr>
        <w:t xml:space="preserve"> района,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10) осуществление международных и внешнеэкономических связей в соответствии с федеральными законами;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11)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Собрания депутатов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lastRenderedPageBreak/>
        <w:t xml:space="preserve">12)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13) иными полномочиями в соответствии с Федеральным законом «Об общих принципах организации местного самоуправления в Российской Федерации», настоящим Уставом.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2. Полномочия органов местного самоуправления, установленные настоящей статьей, осуществляются органами местного самоуправления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Pr="00F430D5">
        <w:rPr>
          <w:rFonts w:ascii="Times New Roman" w:hAnsi="Times New Roman" w:cs="Times New Roman"/>
          <w:sz w:val="28"/>
          <w:szCs w:val="28"/>
        </w:rPr>
        <w:t>района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C63" w:rsidRDefault="005E14BB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Населенные пункты в составе Удобенского сельсовета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4111"/>
      </w:tblGrid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Шеенка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Ряполово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</w:tr>
      <w:tr w:rsidR="00EE016E" w:rsidRPr="005E14BB" w:rsidTr="005E14BB">
        <w:tc>
          <w:tcPr>
            <w:tcW w:w="992" w:type="dxa"/>
          </w:tcPr>
          <w:p w:rsidR="00EE016E" w:rsidRPr="005E14BB" w:rsidRDefault="00EE016E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E016E" w:rsidRPr="005E14BB" w:rsidRDefault="00EE016E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Бабанино</w:t>
            </w:r>
          </w:p>
        </w:tc>
      </w:tr>
    </w:tbl>
    <w:p w:rsidR="005E14BB" w:rsidRDefault="005E14BB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5E14B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5E14B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5E14B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C04BEE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</w:t>
      </w:r>
      <w:r w:rsidRPr="00C04BEE">
        <w:rPr>
          <w:rFonts w:ascii="Times New Roman" w:hAnsi="Times New Roman" w:cs="Times New Roman"/>
          <w:sz w:val="28"/>
          <w:szCs w:val="28"/>
        </w:rPr>
        <w:lastRenderedPageBreak/>
        <w:t>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6D2C63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r w:rsidR="006D2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  <w:r w:rsidR="00FC67D7">
        <w:rPr>
          <w:rFonts w:ascii="Times New Roman" w:hAnsi="Times New Roman" w:cs="Times New Roman"/>
          <w:sz w:val="28"/>
          <w:szCs w:val="28"/>
        </w:rPr>
        <w:t xml:space="preserve"> </w:t>
      </w:r>
      <w:r w:rsidR="009858EC"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="009858EC"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 w:rsidR="009858EC">
        <w:rPr>
          <w:rFonts w:ascii="Times New Roman" w:hAnsi="Times New Roman" w:cs="Times New Roman"/>
          <w:sz w:val="28"/>
          <w:szCs w:val="28"/>
        </w:rPr>
        <w:t>«</w:t>
      </w:r>
      <w:r w:rsidR="009858EC"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 w:rsidR="009858EC"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FC67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536FEF">
        <w:rPr>
          <w:rFonts w:ascii="Times New Roman" w:hAnsi="Times New Roman" w:cs="Times New Roman"/>
          <w:sz w:val="28"/>
          <w:szCs w:val="28"/>
        </w:rPr>
        <w:t xml:space="preserve">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3F31A0" w:rsidRPr="00C3178B">
        <w:rPr>
          <w:rFonts w:ascii="Times New Roman" w:hAnsi="Times New Roman" w:cs="Times New Roman"/>
          <w:sz w:val="28"/>
          <w:szCs w:val="28"/>
        </w:rPr>
        <w:t>Удобенского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="0096250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F31A0" w:rsidRDefault="003F31A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1709BE"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1709BE">
        <w:trPr>
          <w:cantSplit/>
          <w:trHeight w:val="1633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CB3370" w:rsidRPr="001119EB" w:rsidTr="003F31A0">
        <w:tc>
          <w:tcPr>
            <w:tcW w:w="567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B3370" w:rsidRPr="003F31A0" w:rsidRDefault="00CB3370" w:rsidP="003F31A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31A0" w:rsidRPr="003F31A0">
              <w:rPr>
                <w:rFonts w:ascii="Times New Roman" w:hAnsi="Times New Roman" w:cs="Times New Roman"/>
                <w:sz w:val="24"/>
                <w:szCs w:val="24"/>
              </w:rPr>
              <w:t>Удобенского</w:t>
            </w:r>
            <w:r w:rsidR="00BC2DF6" w:rsidRPr="003F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1A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71" w:type="dxa"/>
          </w:tcPr>
          <w:p w:rsidR="00CB3370" w:rsidRPr="001119EB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10,304</w:t>
            </w:r>
          </w:p>
        </w:tc>
        <w:tc>
          <w:tcPr>
            <w:tcW w:w="1564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0DD" w:rsidRDefault="00BD30D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FC67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536FEF">
        <w:rPr>
          <w:rFonts w:ascii="Times New Roman" w:hAnsi="Times New Roman" w:cs="Times New Roman"/>
          <w:sz w:val="28"/>
          <w:szCs w:val="28"/>
        </w:rPr>
        <w:t xml:space="preserve">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2F7B44" w:rsidRPr="00C3178B">
        <w:rPr>
          <w:rFonts w:ascii="Times New Roman" w:hAnsi="Times New Roman" w:cs="Times New Roman"/>
          <w:sz w:val="28"/>
          <w:szCs w:val="28"/>
        </w:rPr>
        <w:t xml:space="preserve">Удобенского сельсовета Горшеченского </w:t>
      </w:r>
      <w:r w:rsidR="001709BE">
        <w:rPr>
          <w:rFonts w:ascii="Times New Roman" w:hAnsi="Times New Roman" w:cs="Times New Roman"/>
          <w:sz w:val="28"/>
          <w:szCs w:val="28"/>
        </w:rPr>
        <w:t>района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CC400B"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CC400B"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B1E80">
        <w:trPr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B44" w:rsidTr="00EE016E">
        <w:tc>
          <w:tcPr>
            <w:tcW w:w="482" w:type="dxa"/>
          </w:tcPr>
          <w:p w:rsidR="002F7B44" w:rsidRPr="001119EB" w:rsidRDefault="002F7B4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2F7B44" w:rsidRPr="003F31A0" w:rsidRDefault="002F7B44" w:rsidP="00EE016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A0">
              <w:rPr>
                <w:rFonts w:ascii="Times New Roman" w:hAnsi="Times New Roman" w:cs="Times New Roman"/>
                <w:sz w:val="24"/>
                <w:szCs w:val="24"/>
              </w:rPr>
              <w:t>Администрация Удобенского сельсовета</w:t>
            </w:r>
          </w:p>
        </w:tc>
        <w:tc>
          <w:tcPr>
            <w:tcW w:w="1134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F7B44" w:rsidRPr="000F3CBD" w:rsidRDefault="002F7B44" w:rsidP="003F31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B44" w:rsidRPr="000F3CBD" w:rsidRDefault="002F7B44" w:rsidP="003F31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2F7B44" w:rsidRPr="002F7B44">
        <w:rPr>
          <w:rFonts w:ascii="Times New Roman" w:hAnsi="Times New Roman" w:cs="Times New Roman"/>
          <w:sz w:val="28"/>
          <w:szCs w:val="28"/>
        </w:rPr>
        <w:t>Удобенский</w:t>
      </w:r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 w:rsidR="00DD2343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67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67D7">
        <w:rPr>
          <w:rFonts w:ascii="Times New Roman" w:hAnsi="Times New Roman" w:cs="Times New Roman"/>
          <w:sz w:val="28"/>
          <w:szCs w:val="28"/>
        </w:rPr>
        <w:t>за 2022</w:t>
      </w:r>
      <w:r w:rsidR="009D49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D30DD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</w:t>
            </w:r>
            <w:proofErr w:type="spellStart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тыс.кВт</w:t>
            </w:r>
            <w:proofErr w:type="spellEnd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D30DD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Шеенка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Ряполово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798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798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58" w:rsidTr="00EE016E">
        <w:tc>
          <w:tcPr>
            <w:tcW w:w="846" w:type="dxa"/>
          </w:tcPr>
          <w:p w:rsidR="00F12158" w:rsidRPr="00512136" w:rsidRDefault="00F12158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F12158" w:rsidRDefault="00F12158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Бабанино</w:t>
            </w:r>
          </w:p>
        </w:tc>
        <w:tc>
          <w:tcPr>
            <w:tcW w:w="798" w:type="dxa"/>
          </w:tcPr>
          <w:p w:rsidR="00F12158" w:rsidRDefault="00F12158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2158" w:rsidRDefault="00F12158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2158" w:rsidRPr="00465010" w:rsidRDefault="00F12158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158" w:rsidRDefault="00F12158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12158" w:rsidRDefault="00F12158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FC67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  <w:r w:rsidR="00536FEF">
        <w:rPr>
          <w:rFonts w:ascii="Times New Roman" w:hAnsi="Times New Roman" w:cs="Times New Roman"/>
          <w:sz w:val="28"/>
          <w:szCs w:val="28"/>
        </w:rPr>
        <w:t xml:space="preserve">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B86798" w:rsidRPr="002F7B44" w:rsidTr="00B86798">
        <w:tc>
          <w:tcPr>
            <w:tcW w:w="846" w:type="dxa"/>
            <w:vMerge w:val="restart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Тариф, руб./м</w:t>
            </w:r>
            <w:r w:rsidRPr="002F7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RPr="002F7B44" w:rsidTr="00B86798">
        <w:trPr>
          <w:cantSplit/>
          <w:trHeight w:val="2171"/>
        </w:trPr>
        <w:tc>
          <w:tcPr>
            <w:tcW w:w="846" w:type="dxa"/>
            <w:vMerge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воды с </w:t>
            </w:r>
            <w:proofErr w:type="spellStart"/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Шеенка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Ряполово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56" w:rsidRPr="002F7B44" w:rsidTr="00EE016E">
        <w:tc>
          <w:tcPr>
            <w:tcW w:w="846" w:type="dxa"/>
          </w:tcPr>
          <w:p w:rsidR="002E3156" w:rsidRPr="002F7B44" w:rsidRDefault="002E3156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E3156" w:rsidRPr="002F7B44" w:rsidRDefault="002E3156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Бабанино</w:t>
            </w:r>
          </w:p>
        </w:tc>
        <w:tc>
          <w:tcPr>
            <w:tcW w:w="992" w:type="dxa"/>
          </w:tcPr>
          <w:p w:rsidR="002E3156" w:rsidRPr="002F7B44" w:rsidRDefault="002E3156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156" w:rsidRPr="002F7B44" w:rsidRDefault="002E3156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156" w:rsidRPr="002F7B44" w:rsidRDefault="002E3156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E3156" w:rsidRPr="002F7B44" w:rsidRDefault="002E3156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E3156" w:rsidRPr="002F7B44" w:rsidRDefault="002E3156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67D7">
        <w:rPr>
          <w:rFonts w:ascii="Times New Roman" w:hAnsi="Times New Roman" w:cs="Times New Roman"/>
          <w:sz w:val="28"/>
          <w:szCs w:val="28"/>
        </w:rPr>
        <w:t>6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proofErr w:type="gramStart"/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r w:rsidR="0088354A">
        <w:rPr>
          <w:rFonts w:ascii="Times New Roman" w:hAnsi="Times New Roman" w:cs="Times New Roman"/>
          <w:sz w:val="28"/>
          <w:szCs w:val="28"/>
        </w:rPr>
        <w:t xml:space="preserve">  </w:t>
      </w:r>
      <w:r w:rsidR="00DD2343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7952EC"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7952EC">
        <w:trPr>
          <w:cantSplit/>
          <w:trHeight w:val="2613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866543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Шеенка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866543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Ряполово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866543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61" w:rsidRPr="0076214D" w:rsidTr="00EE016E">
        <w:tc>
          <w:tcPr>
            <w:tcW w:w="991" w:type="dxa"/>
          </w:tcPr>
          <w:p w:rsidR="00694061" w:rsidRPr="0076214D" w:rsidRDefault="00694061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94061" w:rsidRPr="002F7B44" w:rsidRDefault="00694061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Бабанино</w:t>
            </w:r>
          </w:p>
        </w:tc>
        <w:tc>
          <w:tcPr>
            <w:tcW w:w="1134" w:type="dxa"/>
          </w:tcPr>
          <w:p w:rsidR="00694061" w:rsidRPr="0076214D" w:rsidRDefault="00694061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061" w:rsidRPr="0076214D" w:rsidRDefault="00694061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61" w:rsidRPr="0076214D" w:rsidRDefault="00694061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061" w:rsidRPr="0076214D" w:rsidRDefault="00694061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061" w:rsidRPr="0076214D" w:rsidRDefault="00694061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67D7">
        <w:rPr>
          <w:rFonts w:ascii="Times New Roman" w:hAnsi="Times New Roman" w:cs="Times New Roman"/>
          <w:sz w:val="28"/>
          <w:szCs w:val="28"/>
        </w:rPr>
        <w:t>7</w:t>
      </w:r>
      <w:r w:rsidR="00C849DC">
        <w:rPr>
          <w:rFonts w:ascii="Times New Roman" w:hAnsi="Times New Roman" w:cs="Times New Roman"/>
          <w:sz w:val="28"/>
          <w:szCs w:val="28"/>
        </w:rPr>
        <w:t xml:space="preserve">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 xml:space="preserve">ств на балансе </w:t>
      </w:r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Ind w:w="534" w:type="dxa"/>
        <w:tblLook w:val="04A0" w:firstRow="1" w:lastRow="0" w:firstColumn="1" w:lastColumn="0" w:noHBand="0" w:noVBand="1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214D" w:rsidRPr="0076214D" w:rsidTr="00CB56C4">
        <w:tc>
          <w:tcPr>
            <w:tcW w:w="988" w:type="dxa"/>
          </w:tcPr>
          <w:p w:rsidR="0076214D" w:rsidRPr="0076214D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6214D" w:rsidRPr="0076214D" w:rsidRDefault="0076214D" w:rsidP="003462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842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7DB">
              <w:rPr>
                <w:rFonts w:ascii="Times New Roman" w:hAnsi="Times New Roman"/>
                <w:sz w:val="24"/>
                <w:szCs w:val="24"/>
              </w:rPr>
              <w:t>20</w:t>
            </w:r>
            <w:r w:rsidR="0034625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76214D" w:rsidRPr="0076214D" w:rsidRDefault="0034625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252" w:rsidRPr="0076214D" w:rsidTr="00CB56C4">
        <w:tc>
          <w:tcPr>
            <w:tcW w:w="988" w:type="dxa"/>
          </w:tcPr>
          <w:p w:rsidR="00346252" w:rsidRPr="0076214D" w:rsidRDefault="0034625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6252" w:rsidRPr="0076214D" w:rsidRDefault="00346252" w:rsidP="003462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346252" w:rsidRPr="0076214D" w:rsidRDefault="0034625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2DBB" w:rsidRDefault="00842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C91445">
        <w:rPr>
          <w:rFonts w:ascii="Times New Roman" w:hAnsi="Times New Roman" w:cs="Times New Roman"/>
          <w:sz w:val="28"/>
          <w:szCs w:val="28"/>
        </w:rPr>
        <w:t>Удобенскому</w:t>
      </w:r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сельсовету: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C91445">
        <w:rPr>
          <w:rFonts w:ascii="Times New Roman" w:hAnsi="Times New Roman" w:cs="Times New Roman"/>
          <w:b/>
          <w:sz w:val="28"/>
          <w:szCs w:val="28"/>
        </w:rPr>
        <w:t>Удобенском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здания, находящиеся в собственности сельсовета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1445">
        <w:rPr>
          <w:rFonts w:ascii="Times New Roman" w:hAnsi="Times New Roman" w:cs="Times New Roman"/>
          <w:sz w:val="28"/>
          <w:szCs w:val="28"/>
        </w:rPr>
        <w:t>Удобенском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C91445">
        <w:rPr>
          <w:rFonts w:ascii="Times New Roman" w:hAnsi="Times New Roman" w:cs="Times New Roman"/>
          <w:sz w:val="28"/>
          <w:szCs w:val="28"/>
        </w:rPr>
        <w:t>2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C91445">
        <w:rPr>
          <w:rFonts w:ascii="Times New Roman" w:hAnsi="Times New Roman" w:cs="Times New Roman"/>
          <w:sz w:val="28"/>
          <w:szCs w:val="28"/>
        </w:rPr>
        <w:t>Удобенском</w:t>
      </w:r>
      <w:r w:rsidR="00C85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совете из зданий, подлежащих анализу, </w:t>
      </w:r>
      <w:r w:rsidR="00473BCA">
        <w:rPr>
          <w:rFonts w:ascii="Times New Roman" w:hAnsi="Times New Roman" w:cs="Times New Roman"/>
          <w:sz w:val="28"/>
          <w:szCs w:val="28"/>
        </w:rPr>
        <w:t>в зданиях ДК</w:t>
      </w:r>
      <w:r w:rsidR="00C91445">
        <w:rPr>
          <w:rFonts w:ascii="Times New Roman" w:hAnsi="Times New Roman" w:cs="Times New Roman"/>
          <w:sz w:val="28"/>
          <w:szCs w:val="28"/>
        </w:rPr>
        <w:t xml:space="preserve"> используются газовые</w:t>
      </w:r>
      <w:r>
        <w:rPr>
          <w:rFonts w:ascii="Times New Roman" w:hAnsi="Times New Roman" w:cs="Times New Roman"/>
          <w:sz w:val="28"/>
          <w:szCs w:val="28"/>
        </w:rPr>
        <w:t xml:space="preserve"> тепловые </w:t>
      </w:r>
      <w:r w:rsidR="002307DB">
        <w:rPr>
          <w:rFonts w:ascii="Times New Roman" w:hAnsi="Times New Roman" w:cs="Times New Roman"/>
          <w:sz w:val="28"/>
          <w:szCs w:val="28"/>
        </w:rPr>
        <w:t>приборы</w:t>
      </w:r>
      <w:r>
        <w:rPr>
          <w:rFonts w:ascii="Times New Roman" w:hAnsi="Times New Roman" w:cs="Times New Roman"/>
          <w:sz w:val="28"/>
          <w:szCs w:val="28"/>
        </w:rPr>
        <w:t>, соответственно сделать логические выводы о качестве работы системы отопления не представляется возможным.</w:t>
      </w:r>
    </w:p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45" w:rsidRDefault="00C9144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45" w:rsidRDefault="00C9144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функциониру</w:t>
      </w:r>
      <w:r w:rsidR="00D666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307DB">
        <w:rPr>
          <w:rFonts w:ascii="Times New Roman" w:hAnsi="Times New Roman" w:cs="Times New Roman"/>
          <w:sz w:val="28"/>
          <w:szCs w:val="28"/>
        </w:rPr>
        <w:t xml:space="preserve">5 </w:t>
      </w:r>
      <w:r w:rsidR="00310827">
        <w:rPr>
          <w:rFonts w:ascii="Times New Roman" w:hAnsi="Times New Roman" w:cs="Times New Roman"/>
          <w:sz w:val="28"/>
          <w:szCs w:val="28"/>
        </w:rPr>
        <w:t xml:space="preserve">скважин, </w:t>
      </w:r>
      <w:r w:rsidR="00C91445">
        <w:rPr>
          <w:rFonts w:ascii="Times New Roman" w:hAnsi="Times New Roman" w:cs="Times New Roman"/>
          <w:sz w:val="28"/>
          <w:szCs w:val="28"/>
        </w:rPr>
        <w:t>6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водонапорных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населенных пунктах сельсовета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91445">
        <w:rPr>
          <w:rFonts w:ascii="Times New Roman" w:hAnsi="Times New Roman" w:cs="Times New Roman"/>
          <w:sz w:val="28"/>
          <w:szCs w:val="28"/>
        </w:rPr>
        <w:t>2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67D7">
        <w:rPr>
          <w:rFonts w:ascii="Times New Roman" w:hAnsi="Times New Roman" w:cs="Times New Roman"/>
          <w:sz w:val="28"/>
          <w:szCs w:val="28"/>
        </w:rPr>
        <w:t>8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водоснабжения </w:t>
      </w:r>
      <w:r w:rsidR="00C91445">
        <w:rPr>
          <w:rFonts w:ascii="Times New Roman" w:hAnsi="Times New Roman" w:cs="Times New Roman"/>
          <w:sz w:val="28"/>
          <w:szCs w:val="28"/>
        </w:rPr>
        <w:t>Удобенског</w:t>
      </w:r>
      <w:r w:rsidR="0088354A">
        <w:rPr>
          <w:rFonts w:ascii="Times New Roman" w:hAnsi="Times New Roman" w:cs="Times New Roman"/>
          <w:sz w:val="28"/>
          <w:szCs w:val="28"/>
        </w:rPr>
        <w:t>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91445" w:rsidRDefault="00C9144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1881" w:type="dxa"/>
          </w:tcPr>
          <w:p w:rsidR="00C9144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1881" w:type="dxa"/>
          </w:tcPr>
          <w:p w:rsidR="00C9144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881" w:type="dxa"/>
          </w:tcPr>
          <w:p w:rsidR="00C9144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Шеенка</w:t>
            </w:r>
          </w:p>
        </w:tc>
        <w:tc>
          <w:tcPr>
            <w:tcW w:w="1881" w:type="dxa"/>
          </w:tcPr>
          <w:p w:rsidR="00C9144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1881" w:type="dxa"/>
          </w:tcPr>
          <w:p w:rsidR="00C9144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Ряполово</w:t>
            </w:r>
          </w:p>
        </w:tc>
        <w:tc>
          <w:tcPr>
            <w:tcW w:w="1881" w:type="dxa"/>
          </w:tcPr>
          <w:p w:rsidR="00C9144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1881" w:type="dxa"/>
          </w:tcPr>
          <w:p w:rsidR="00C9144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881" w:type="dxa"/>
          </w:tcPr>
          <w:p w:rsidR="00C9144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F1" w:rsidRPr="001C4F05" w:rsidTr="00EE016E">
        <w:tc>
          <w:tcPr>
            <w:tcW w:w="567" w:type="dxa"/>
          </w:tcPr>
          <w:p w:rsidR="007021F1" w:rsidRPr="00473BCA" w:rsidRDefault="007021F1" w:rsidP="007021F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7021F1" w:rsidRPr="002F7B44" w:rsidRDefault="007021F1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Бабанино</w:t>
            </w:r>
          </w:p>
        </w:tc>
        <w:tc>
          <w:tcPr>
            <w:tcW w:w="1881" w:type="dxa"/>
          </w:tcPr>
          <w:p w:rsidR="007021F1" w:rsidRDefault="007021F1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021F1" w:rsidRDefault="007021F1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7021F1" w:rsidRDefault="007021F1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Усредненная электроемкость составляет 0,</w:t>
      </w:r>
      <w:r w:rsidR="00D666B4">
        <w:rPr>
          <w:rFonts w:ascii="Times New Roman" w:hAnsi="Times New Roman" w:cs="Times New Roman"/>
          <w:sz w:val="28"/>
          <w:szCs w:val="28"/>
        </w:rPr>
        <w:t>8</w:t>
      </w:r>
      <w:r w:rsidR="00230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3B44AB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88354A">
        <w:rPr>
          <w:rFonts w:ascii="Times New Roman" w:hAnsi="Times New Roman" w:cs="Times New Roman"/>
          <w:sz w:val="28"/>
          <w:szCs w:val="28"/>
        </w:rPr>
        <w:t>Быковского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</w:p>
    <w:p w:rsidR="00802681" w:rsidRDefault="0080268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D666B4">
        <w:rPr>
          <w:rFonts w:ascii="Times New Roman" w:hAnsi="Times New Roman" w:cs="Times New Roman"/>
          <w:sz w:val="28"/>
          <w:szCs w:val="28"/>
        </w:rPr>
        <w:t>8</w:t>
      </w:r>
      <w:r w:rsidR="001961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0,45</w:t>
      </w:r>
      <w:r w:rsidR="00D666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666B4">
        <w:rPr>
          <w:rFonts w:ascii="Times New Roman" w:hAnsi="Times New Roman" w:cs="Times New Roman"/>
          <w:sz w:val="28"/>
          <w:szCs w:val="28"/>
        </w:rPr>
        <w:t>0,</w:t>
      </w:r>
      <w:r w:rsidR="001961D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2681" w:rsidRPr="001961DE" w:rsidRDefault="009435B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это говорит о </w:t>
      </w:r>
      <w:r w:rsidRPr="001961DE">
        <w:rPr>
          <w:rFonts w:ascii="Times New Roman" w:hAnsi="Times New Roman" w:cs="Times New Roman"/>
          <w:sz w:val="28"/>
          <w:szCs w:val="28"/>
        </w:rPr>
        <w:t xml:space="preserve">потреблении </w:t>
      </w:r>
      <w:r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7,14 тыс. кВт х час на добычу существующего объема воды, и в тоннах условного топлива составляет -  2,4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="00802681" w:rsidRPr="00196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P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1445">
        <w:rPr>
          <w:rFonts w:ascii="Times New Roman" w:hAnsi="Times New Roman" w:cs="Times New Roman"/>
          <w:sz w:val="28"/>
          <w:szCs w:val="28"/>
        </w:rPr>
        <w:t>Удобенского</w:t>
      </w:r>
      <w:r w:rsidR="00C858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C91445">
        <w:rPr>
          <w:rFonts w:ascii="Times New Roman" w:hAnsi="Times New Roman" w:cs="Times New Roman"/>
          <w:sz w:val="28"/>
          <w:szCs w:val="28"/>
        </w:rPr>
        <w:t>Удобенского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представлена в таблице</w:t>
      </w:r>
      <w:r w:rsidR="00373FBD">
        <w:rPr>
          <w:rFonts w:ascii="Times New Roman" w:hAnsi="Times New Roman" w:cs="Times New Roman"/>
          <w:sz w:val="28"/>
          <w:szCs w:val="28"/>
        </w:rPr>
        <w:t>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45" w:rsidRDefault="00C91445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67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Система уличного освещения</w:t>
      </w:r>
    </w:p>
    <w:p w:rsidR="00C91445" w:rsidRDefault="00C91445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A55F2B" w:rsidRPr="0076214D" w:rsidTr="00B63F22">
        <w:tc>
          <w:tcPr>
            <w:tcW w:w="991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55F2B" w:rsidRPr="0076214D" w:rsidRDefault="00A55F2B" w:rsidP="00B63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55F2B" w:rsidRPr="0076214D" w:rsidTr="00B63F22">
        <w:trPr>
          <w:cantSplit/>
          <w:trHeight w:val="2613"/>
        </w:trPr>
        <w:tc>
          <w:tcPr>
            <w:tcW w:w="991" w:type="dxa"/>
            <w:vMerge/>
          </w:tcPr>
          <w:p w:rsidR="00A55F2B" w:rsidRPr="0076214D" w:rsidRDefault="00A55F2B" w:rsidP="00B63F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Шеенка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Ряполово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C91445" w:rsidRPr="0076214D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445" w:rsidRPr="0076214D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4C" w:rsidRPr="0076214D" w:rsidTr="00EE016E">
        <w:tc>
          <w:tcPr>
            <w:tcW w:w="991" w:type="dxa"/>
          </w:tcPr>
          <w:p w:rsidR="00484E4C" w:rsidRPr="0076214D" w:rsidRDefault="00484E4C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484E4C" w:rsidRPr="002F7B44" w:rsidRDefault="00484E4C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Бабанино</w:t>
            </w:r>
          </w:p>
        </w:tc>
        <w:tc>
          <w:tcPr>
            <w:tcW w:w="1134" w:type="dxa"/>
          </w:tcPr>
          <w:p w:rsidR="00484E4C" w:rsidRDefault="00484E4C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E4C" w:rsidRPr="0076214D" w:rsidRDefault="00484E4C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E4C" w:rsidRPr="0076214D" w:rsidRDefault="00484E4C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E4C" w:rsidRPr="0076214D" w:rsidRDefault="00484E4C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E4C" w:rsidRPr="0076214D" w:rsidRDefault="00484E4C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277" w:rsidRDefault="00C03277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использовании инструментов рыночной экономики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рост цен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r w:rsidR="00F8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A55F2B">
        <w:rPr>
          <w:rFonts w:ascii="Times New Roman" w:hAnsi="Times New Roman" w:cs="Times New Roman"/>
          <w:sz w:val="28"/>
          <w:szCs w:val="28"/>
        </w:rPr>
        <w:t xml:space="preserve"> </w:t>
      </w:r>
      <w:r w:rsidR="00D65128">
        <w:rPr>
          <w:rFonts w:ascii="Times New Roman" w:hAnsi="Times New Roman" w:cs="Times New Roman"/>
          <w:sz w:val="28"/>
          <w:szCs w:val="28"/>
        </w:rPr>
        <w:t>Горшеченского</w:t>
      </w:r>
      <w:r w:rsidR="00A55F2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88354A">
        <w:rPr>
          <w:rFonts w:ascii="Times New Roman" w:hAnsi="Times New Roman" w:cs="Times New Roman"/>
          <w:sz w:val="28"/>
          <w:szCs w:val="28"/>
        </w:rPr>
        <w:t>2,</w:t>
      </w:r>
      <w:r w:rsidR="00D651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FC67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  <w:r w:rsidR="001D6A55">
        <w:rPr>
          <w:rFonts w:ascii="Times New Roman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 w:rsidR="001D6A5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6A5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FC67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6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7D7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1643" w:type="dxa"/>
          </w:tcPr>
          <w:p w:rsidR="004C27FE" w:rsidRDefault="00FC67D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Tr="001D6A55">
        <w:tc>
          <w:tcPr>
            <w:tcW w:w="1242" w:type="dxa"/>
          </w:tcPr>
          <w:p w:rsidR="004C27FE" w:rsidRPr="006635BF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подготовке и повышению квалификации специалист</w:t>
            </w:r>
            <w:r w:rsidR="00FF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2D7356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2D7356" w:rsidRDefault="00D403E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3FBD" w:rsidTr="001D6A55">
        <w:tc>
          <w:tcPr>
            <w:tcW w:w="1242" w:type="dxa"/>
          </w:tcPr>
          <w:p w:rsidR="00373FBD" w:rsidRPr="006635BF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2B4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Объем средств и мероприятия по энергосбережению, финансируемые из внебюджетных средств в программе </w:t>
      </w:r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Tr="00C849DC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602A5E" w:rsidTr="00D90F6C">
        <w:tc>
          <w:tcPr>
            <w:tcW w:w="14786" w:type="dxa"/>
            <w:gridSpan w:val="7"/>
          </w:tcPr>
          <w:p w:rsidR="00602A5E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B2B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7B24E5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B24E5" w:rsidRDefault="007B24E5" w:rsidP="00BB2B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Tr="008E3E52">
        <w:tc>
          <w:tcPr>
            <w:tcW w:w="14786" w:type="dxa"/>
            <w:gridSpan w:val="7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Tr="008E3E52">
        <w:tc>
          <w:tcPr>
            <w:tcW w:w="1242" w:type="dxa"/>
          </w:tcPr>
          <w:p w:rsidR="007B24E5" w:rsidRPr="006635BF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7356" w:rsidTr="008E3E52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FC67D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Default="000B0D43" w:rsidP="00D651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D65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643" w:type="dxa"/>
          </w:tcPr>
          <w:p w:rsidR="00D404F5" w:rsidRDefault="000B0D4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B2B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Tr="00C85218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B24E5" w:rsidRDefault="00BB2B4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5" w:type="dxa"/>
          </w:tcPr>
          <w:p w:rsidR="007B24E5" w:rsidRDefault="007B24E5" w:rsidP="00BB2B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2B45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559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95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43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F1FC0" w:rsidTr="0020727B">
        <w:trPr>
          <w:trHeight w:val="1095"/>
        </w:trPr>
        <w:tc>
          <w:tcPr>
            <w:tcW w:w="1242" w:type="dxa"/>
          </w:tcPr>
          <w:p w:rsidR="003F1FC0" w:rsidRPr="006635BF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701" w:type="dxa"/>
          </w:tcPr>
          <w:p w:rsidR="00BC1630" w:rsidRPr="00D176B1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74B">
              <w:rPr>
                <w:rFonts w:ascii="Times New Roman" w:hAnsi="Times New Roman" w:cs="Times New Roman"/>
                <w:sz w:val="28"/>
                <w:szCs w:val="28"/>
              </w:rPr>
              <w:t>,583</w:t>
            </w:r>
          </w:p>
        </w:tc>
        <w:tc>
          <w:tcPr>
            <w:tcW w:w="1559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,829</w:t>
            </w:r>
          </w:p>
        </w:tc>
        <w:tc>
          <w:tcPr>
            <w:tcW w:w="1695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,926</w:t>
            </w:r>
          </w:p>
        </w:tc>
        <w:tc>
          <w:tcPr>
            <w:tcW w:w="1643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BE">
              <w:rPr>
                <w:rFonts w:ascii="Times New Roman" w:hAnsi="Times New Roman" w:cs="Times New Roman"/>
                <w:sz w:val="28"/>
                <w:szCs w:val="28"/>
              </w:rPr>
              <w:t>,122</w:t>
            </w:r>
          </w:p>
        </w:tc>
      </w:tr>
      <w:tr w:rsidR="00BC1630" w:rsidTr="00B77D6D">
        <w:trPr>
          <w:trHeight w:val="265"/>
        </w:trPr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C1630" w:rsidRPr="0010540D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559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95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43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P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6064"/>
        <w:gridCol w:w="1491"/>
        <w:gridCol w:w="1513"/>
        <w:gridCol w:w="1515"/>
        <w:gridCol w:w="1515"/>
        <w:gridCol w:w="1515"/>
      </w:tblGrid>
      <w:tr w:rsidR="009D7DBB" w:rsidRPr="009D7DBB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Значения показателей</w:t>
            </w:r>
          </w:p>
        </w:tc>
      </w:tr>
      <w:tr w:rsidR="009D7DBB" w:rsidRPr="009D7DBB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</w:t>
            </w:r>
            <w:r w:rsidR="007303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2025</w:t>
            </w:r>
          </w:p>
        </w:tc>
      </w:tr>
      <w:tr w:rsidR="009D7DBB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8</w:t>
            </w:r>
          </w:p>
        </w:tc>
      </w:tr>
      <w:tr w:rsidR="00F75853" w:rsidRPr="009D7DBB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Доля потребляемой муниципальными учреждениями </w:t>
            </w:r>
            <w:r w:rsidRPr="009D7DBB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электрической энергии</w:t>
            </w: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FC67D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E752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E75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E45E83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242"/>
        <w:gridCol w:w="1935"/>
        <w:gridCol w:w="1738"/>
        <w:gridCol w:w="1437"/>
        <w:gridCol w:w="1649"/>
        <w:gridCol w:w="1590"/>
        <w:gridCol w:w="1592"/>
      </w:tblGrid>
      <w:tr w:rsidR="009D7DBB" w:rsidRPr="009D7DBB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D7DBB" w:rsidRPr="009D7DBB" w:rsidTr="00F5327C">
        <w:trPr>
          <w:trHeight w:val="238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Последствия </w:t>
            </w: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нереализации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9D7DBB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9D7DBB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 w:rsidR="00BB2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BB2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EF51D7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</w:t>
            </w: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 w:rsidR="00BB2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BB2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A55F2B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 w:rsidR="00BB2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BB2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6D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AE7" w:rsidRDefault="00391AE7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2B45" w:rsidRDefault="00BB2B45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2B45" w:rsidRDefault="00BB2B45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</w:t>
            </w:r>
            <w:r w:rsidR="00B51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D65128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12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D651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65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D65128" w:rsidRPr="00D65128">
              <w:rPr>
                <w:rFonts w:ascii="Times New Roman" w:hAnsi="Times New Roman" w:cs="Times New Roman"/>
                <w:sz w:val="24"/>
                <w:szCs w:val="24"/>
              </w:rPr>
              <w:t xml:space="preserve">Удобенского </w:t>
            </w:r>
            <w:r w:rsidR="00DD2343" w:rsidRPr="00D6512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4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BB2B45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(24</w:t>
            </w:r>
            <w:r w:rsidR="007303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51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B45" w:rsidRDefault="00BB2B4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B45" w:rsidRDefault="00BB2B4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7" w:type="dxa"/>
            <w:vAlign w:val="center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9D7DBB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63" w:type="dxa"/>
          </w:tcPr>
          <w:p w:rsidR="009D7DBB" w:rsidRPr="009D7DBB" w:rsidRDefault="00BB2B45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</w:t>
            </w: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BB2B4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BB2B4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B2B45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B2B45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27" w:type="dxa"/>
          </w:tcPr>
          <w:p w:rsidR="009D7DBB" w:rsidRPr="009D7DBB" w:rsidRDefault="00BB2B45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9D7DBB" w:rsidRPr="009D7DBB" w:rsidTr="00D90F6C">
        <w:tc>
          <w:tcPr>
            <w:tcW w:w="704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9D7DBB" w:rsidRDefault="00BB2B45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9D7DBB" w:rsidRDefault="00BB2B45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  <w:tc>
          <w:tcPr>
            <w:tcW w:w="2427" w:type="dxa"/>
          </w:tcPr>
          <w:p w:rsidR="009D7DBB" w:rsidRPr="009D7DBB" w:rsidRDefault="00BB2B45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31.12.2026</w:t>
            </w:r>
          </w:p>
        </w:tc>
      </w:tr>
      <w:tr w:rsidR="00833A16" w:rsidRPr="009D7DBB" w:rsidTr="00D90F6C">
        <w:tc>
          <w:tcPr>
            <w:tcW w:w="704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9F07C8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7C8" w:rsidRPr="009D7DBB" w:rsidTr="00D90F6C">
        <w:tc>
          <w:tcPr>
            <w:tcW w:w="704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F07C8" w:rsidRPr="009D7DBB" w:rsidRDefault="00BB2B45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9D7DBB" w:rsidRDefault="00BB2B45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  <w:tc>
          <w:tcPr>
            <w:tcW w:w="2427" w:type="dxa"/>
          </w:tcPr>
          <w:p w:rsidR="009F07C8" w:rsidRPr="009D7DBB" w:rsidRDefault="00BB2B45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31.12.2026</w:t>
            </w:r>
            <w:bookmarkStart w:id="0" w:name="_GoBack"/>
            <w:bookmarkEnd w:id="0"/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17" w:rsidRDefault="00306C17" w:rsidP="000A14C2">
      <w:pPr>
        <w:spacing w:after="0" w:line="240" w:lineRule="auto"/>
      </w:pPr>
      <w:r>
        <w:separator/>
      </w:r>
    </w:p>
  </w:endnote>
  <w:endnote w:type="continuationSeparator" w:id="0">
    <w:p w:rsidR="00306C17" w:rsidRDefault="00306C17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D7" w:rsidRDefault="00FC67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17" w:rsidRDefault="00306C17" w:rsidP="000A14C2">
      <w:pPr>
        <w:spacing w:after="0" w:line="240" w:lineRule="auto"/>
      </w:pPr>
      <w:r>
        <w:separator/>
      </w:r>
    </w:p>
  </w:footnote>
  <w:footnote w:type="continuationSeparator" w:id="0">
    <w:p w:rsidR="00306C17" w:rsidRDefault="00306C17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C1F6D"/>
    <w:multiLevelType w:val="hybridMultilevel"/>
    <w:tmpl w:val="B77224FA"/>
    <w:lvl w:ilvl="0" w:tplc="279C002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4"/>
  </w:num>
  <w:num w:numId="5">
    <w:abstractNumId w:val="13"/>
  </w:num>
  <w:num w:numId="6">
    <w:abstractNumId w:val="29"/>
  </w:num>
  <w:num w:numId="7">
    <w:abstractNumId w:val="30"/>
  </w:num>
  <w:num w:numId="8">
    <w:abstractNumId w:val="5"/>
  </w:num>
  <w:num w:numId="9">
    <w:abstractNumId w:val="18"/>
  </w:num>
  <w:num w:numId="10">
    <w:abstractNumId w:val="26"/>
  </w:num>
  <w:num w:numId="11">
    <w:abstractNumId w:val="32"/>
  </w:num>
  <w:num w:numId="12">
    <w:abstractNumId w:val="19"/>
  </w:num>
  <w:num w:numId="13">
    <w:abstractNumId w:val="0"/>
  </w:num>
  <w:num w:numId="14">
    <w:abstractNumId w:val="7"/>
  </w:num>
  <w:num w:numId="15">
    <w:abstractNumId w:val="9"/>
  </w:num>
  <w:num w:numId="16">
    <w:abstractNumId w:val="27"/>
  </w:num>
  <w:num w:numId="17">
    <w:abstractNumId w:val="22"/>
  </w:num>
  <w:num w:numId="18">
    <w:abstractNumId w:val="2"/>
  </w:num>
  <w:num w:numId="19">
    <w:abstractNumId w:val="25"/>
  </w:num>
  <w:num w:numId="20">
    <w:abstractNumId w:val="12"/>
  </w:num>
  <w:num w:numId="21">
    <w:abstractNumId w:val="21"/>
  </w:num>
  <w:num w:numId="22">
    <w:abstractNumId w:val="10"/>
  </w:num>
  <w:num w:numId="23">
    <w:abstractNumId w:val="1"/>
  </w:num>
  <w:num w:numId="24">
    <w:abstractNumId w:val="33"/>
  </w:num>
  <w:num w:numId="25">
    <w:abstractNumId w:val="16"/>
  </w:num>
  <w:num w:numId="26">
    <w:abstractNumId w:val="15"/>
  </w:num>
  <w:num w:numId="27">
    <w:abstractNumId w:val="6"/>
  </w:num>
  <w:num w:numId="28">
    <w:abstractNumId w:val="34"/>
  </w:num>
  <w:num w:numId="29">
    <w:abstractNumId w:val="28"/>
  </w:num>
  <w:num w:numId="30">
    <w:abstractNumId w:val="17"/>
  </w:num>
  <w:num w:numId="31">
    <w:abstractNumId w:val="11"/>
  </w:num>
  <w:num w:numId="32">
    <w:abstractNumId w:val="8"/>
  </w:num>
  <w:num w:numId="33">
    <w:abstractNumId w:val="23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6B"/>
    <w:rsid w:val="00004FC8"/>
    <w:rsid w:val="00011F2D"/>
    <w:rsid w:val="0001285D"/>
    <w:rsid w:val="00026BDE"/>
    <w:rsid w:val="00031642"/>
    <w:rsid w:val="0003358C"/>
    <w:rsid w:val="000347E9"/>
    <w:rsid w:val="0004110E"/>
    <w:rsid w:val="00043397"/>
    <w:rsid w:val="00044272"/>
    <w:rsid w:val="0004621D"/>
    <w:rsid w:val="0005193C"/>
    <w:rsid w:val="00055EF9"/>
    <w:rsid w:val="00060AB2"/>
    <w:rsid w:val="00061613"/>
    <w:rsid w:val="00076EDA"/>
    <w:rsid w:val="000800C1"/>
    <w:rsid w:val="0008565C"/>
    <w:rsid w:val="000911C6"/>
    <w:rsid w:val="000954B1"/>
    <w:rsid w:val="000A14C2"/>
    <w:rsid w:val="000B0D43"/>
    <w:rsid w:val="000B5A97"/>
    <w:rsid w:val="000B7523"/>
    <w:rsid w:val="000C3E7F"/>
    <w:rsid w:val="000C4B29"/>
    <w:rsid w:val="000C75B7"/>
    <w:rsid w:val="000D4409"/>
    <w:rsid w:val="000E0E76"/>
    <w:rsid w:val="000F1004"/>
    <w:rsid w:val="000F3B46"/>
    <w:rsid w:val="000F3CBD"/>
    <w:rsid w:val="000F49D3"/>
    <w:rsid w:val="0010540D"/>
    <w:rsid w:val="00106E0B"/>
    <w:rsid w:val="001106DF"/>
    <w:rsid w:val="00111B29"/>
    <w:rsid w:val="00124EB1"/>
    <w:rsid w:val="00127BB6"/>
    <w:rsid w:val="001308CC"/>
    <w:rsid w:val="0013107E"/>
    <w:rsid w:val="001323DD"/>
    <w:rsid w:val="00136C47"/>
    <w:rsid w:val="00137E96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374B"/>
    <w:rsid w:val="001B4545"/>
    <w:rsid w:val="001C0A29"/>
    <w:rsid w:val="001C3522"/>
    <w:rsid w:val="001C3B17"/>
    <w:rsid w:val="001C470C"/>
    <w:rsid w:val="001C4F05"/>
    <w:rsid w:val="001D0650"/>
    <w:rsid w:val="001D2A6A"/>
    <w:rsid w:val="001D6A55"/>
    <w:rsid w:val="001D6D09"/>
    <w:rsid w:val="001F43FE"/>
    <w:rsid w:val="002057F4"/>
    <w:rsid w:val="00206C0B"/>
    <w:rsid w:val="00207107"/>
    <w:rsid w:val="0020727B"/>
    <w:rsid w:val="00207E54"/>
    <w:rsid w:val="00213565"/>
    <w:rsid w:val="002201B9"/>
    <w:rsid w:val="002307DB"/>
    <w:rsid w:val="00242963"/>
    <w:rsid w:val="002450F3"/>
    <w:rsid w:val="0026294C"/>
    <w:rsid w:val="002639D5"/>
    <w:rsid w:val="00265704"/>
    <w:rsid w:val="00271508"/>
    <w:rsid w:val="00272C35"/>
    <w:rsid w:val="0027311E"/>
    <w:rsid w:val="002749A0"/>
    <w:rsid w:val="002755CD"/>
    <w:rsid w:val="00277230"/>
    <w:rsid w:val="002807FF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D02C4"/>
    <w:rsid w:val="002D4D4B"/>
    <w:rsid w:val="002D6BA3"/>
    <w:rsid w:val="002D7356"/>
    <w:rsid w:val="002E2BE7"/>
    <w:rsid w:val="002E3156"/>
    <w:rsid w:val="002F7B44"/>
    <w:rsid w:val="0030290D"/>
    <w:rsid w:val="00306C17"/>
    <w:rsid w:val="00310827"/>
    <w:rsid w:val="00316B0A"/>
    <w:rsid w:val="00323E1F"/>
    <w:rsid w:val="0033382D"/>
    <w:rsid w:val="00333918"/>
    <w:rsid w:val="00346252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E2A"/>
    <w:rsid w:val="00385B2E"/>
    <w:rsid w:val="00385E5A"/>
    <w:rsid w:val="00387D54"/>
    <w:rsid w:val="00391AE7"/>
    <w:rsid w:val="00392FE9"/>
    <w:rsid w:val="00395205"/>
    <w:rsid w:val="003A1575"/>
    <w:rsid w:val="003A6D9C"/>
    <w:rsid w:val="003B44AB"/>
    <w:rsid w:val="003B6B44"/>
    <w:rsid w:val="003C4029"/>
    <w:rsid w:val="003D2B24"/>
    <w:rsid w:val="003E02D3"/>
    <w:rsid w:val="003E3703"/>
    <w:rsid w:val="003E4064"/>
    <w:rsid w:val="003E4827"/>
    <w:rsid w:val="003F1FC0"/>
    <w:rsid w:val="003F2041"/>
    <w:rsid w:val="003F31A0"/>
    <w:rsid w:val="003F4ED1"/>
    <w:rsid w:val="004024DD"/>
    <w:rsid w:val="00404CE8"/>
    <w:rsid w:val="004130DB"/>
    <w:rsid w:val="0041469F"/>
    <w:rsid w:val="004162AA"/>
    <w:rsid w:val="00417293"/>
    <w:rsid w:val="00427CFD"/>
    <w:rsid w:val="00441652"/>
    <w:rsid w:val="00447468"/>
    <w:rsid w:val="00463D62"/>
    <w:rsid w:val="00473BCA"/>
    <w:rsid w:val="0048239A"/>
    <w:rsid w:val="00483DAF"/>
    <w:rsid w:val="00484E4C"/>
    <w:rsid w:val="00486E3F"/>
    <w:rsid w:val="00486F7F"/>
    <w:rsid w:val="00487429"/>
    <w:rsid w:val="004931E6"/>
    <w:rsid w:val="0049568C"/>
    <w:rsid w:val="004A56A1"/>
    <w:rsid w:val="004B1E23"/>
    <w:rsid w:val="004C0688"/>
    <w:rsid w:val="004C27FE"/>
    <w:rsid w:val="004C69F8"/>
    <w:rsid w:val="004D1B5A"/>
    <w:rsid w:val="004D4800"/>
    <w:rsid w:val="004D61F4"/>
    <w:rsid w:val="004E3A34"/>
    <w:rsid w:val="004F08B0"/>
    <w:rsid w:val="004F0ED4"/>
    <w:rsid w:val="0050096A"/>
    <w:rsid w:val="005011AB"/>
    <w:rsid w:val="005101BE"/>
    <w:rsid w:val="005104FC"/>
    <w:rsid w:val="00525799"/>
    <w:rsid w:val="005316BB"/>
    <w:rsid w:val="00531D53"/>
    <w:rsid w:val="00536FEF"/>
    <w:rsid w:val="00542506"/>
    <w:rsid w:val="00546370"/>
    <w:rsid w:val="0055552E"/>
    <w:rsid w:val="00581488"/>
    <w:rsid w:val="005873F5"/>
    <w:rsid w:val="00591217"/>
    <w:rsid w:val="00594C99"/>
    <w:rsid w:val="00597373"/>
    <w:rsid w:val="005B053A"/>
    <w:rsid w:val="005B0A9C"/>
    <w:rsid w:val="005B27E6"/>
    <w:rsid w:val="005B7C84"/>
    <w:rsid w:val="005C1B78"/>
    <w:rsid w:val="005C2D10"/>
    <w:rsid w:val="005C634B"/>
    <w:rsid w:val="005D2CE2"/>
    <w:rsid w:val="005D7AD8"/>
    <w:rsid w:val="005E14BB"/>
    <w:rsid w:val="005E512E"/>
    <w:rsid w:val="005F3062"/>
    <w:rsid w:val="005F60C9"/>
    <w:rsid w:val="00602A5E"/>
    <w:rsid w:val="00603D5C"/>
    <w:rsid w:val="0061276C"/>
    <w:rsid w:val="006134AA"/>
    <w:rsid w:val="006154A7"/>
    <w:rsid w:val="00616B55"/>
    <w:rsid w:val="006309F5"/>
    <w:rsid w:val="00631A81"/>
    <w:rsid w:val="006365CE"/>
    <w:rsid w:val="00636810"/>
    <w:rsid w:val="00636C0E"/>
    <w:rsid w:val="0064395F"/>
    <w:rsid w:val="006441CD"/>
    <w:rsid w:val="006511C0"/>
    <w:rsid w:val="00656F69"/>
    <w:rsid w:val="00660BD1"/>
    <w:rsid w:val="00660C0B"/>
    <w:rsid w:val="00664171"/>
    <w:rsid w:val="00665CD8"/>
    <w:rsid w:val="00677678"/>
    <w:rsid w:val="0068720D"/>
    <w:rsid w:val="00692118"/>
    <w:rsid w:val="00694061"/>
    <w:rsid w:val="00696EB6"/>
    <w:rsid w:val="00696F18"/>
    <w:rsid w:val="006A1961"/>
    <w:rsid w:val="006A2C9F"/>
    <w:rsid w:val="006C1834"/>
    <w:rsid w:val="006C2B2F"/>
    <w:rsid w:val="006C6294"/>
    <w:rsid w:val="006D008D"/>
    <w:rsid w:val="006D0117"/>
    <w:rsid w:val="006D0C10"/>
    <w:rsid w:val="006D2C63"/>
    <w:rsid w:val="006E4CBE"/>
    <w:rsid w:val="006F1E7B"/>
    <w:rsid w:val="006F5107"/>
    <w:rsid w:val="006F6073"/>
    <w:rsid w:val="007021F1"/>
    <w:rsid w:val="007032E3"/>
    <w:rsid w:val="007102BA"/>
    <w:rsid w:val="00720A6F"/>
    <w:rsid w:val="00725E4A"/>
    <w:rsid w:val="007261F0"/>
    <w:rsid w:val="00730340"/>
    <w:rsid w:val="007512B0"/>
    <w:rsid w:val="00760C3D"/>
    <w:rsid w:val="0076214D"/>
    <w:rsid w:val="0076572F"/>
    <w:rsid w:val="00765AB2"/>
    <w:rsid w:val="00766271"/>
    <w:rsid w:val="0077168D"/>
    <w:rsid w:val="00774CC6"/>
    <w:rsid w:val="007828CD"/>
    <w:rsid w:val="007952EC"/>
    <w:rsid w:val="00796FB7"/>
    <w:rsid w:val="007A138C"/>
    <w:rsid w:val="007A5352"/>
    <w:rsid w:val="007B0D0D"/>
    <w:rsid w:val="007B24E5"/>
    <w:rsid w:val="007B483E"/>
    <w:rsid w:val="007B62DC"/>
    <w:rsid w:val="007B7DFD"/>
    <w:rsid w:val="007C3AC7"/>
    <w:rsid w:val="007C4D0C"/>
    <w:rsid w:val="007D694B"/>
    <w:rsid w:val="007D6A9A"/>
    <w:rsid w:val="007D7E68"/>
    <w:rsid w:val="007E40D7"/>
    <w:rsid w:val="007F63CE"/>
    <w:rsid w:val="00802681"/>
    <w:rsid w:val="008063D6"/>
    <w:rsid w:val="00807C85"/>
    <w:rsid w:val="0081522F"/>
    <w:rsid w:val="00816F0F"/>
    <w:rsid w:val="0082150D"/>
    <w:rsid w:val="00833A16"/>
    <w:rsid w:val="00837C78"/>
    <w:rsid w:val="00837F3A"/>
    <w:rsid w:val="00842DBB"/>
    <w:rsid w:val="008437BA"/>
    <w:rsid w:val="00845A3B"/>
    <w:rsid w:val="00851FBD"/>
    <w:rsid w:val="008522FD"/>
    <w:rsid w:val="0086031C"/>
    <w:rsid w:val="00861206"/>
    <w:rsid w:val="00866543"/>
    <w:rsid w:val="0086681E"/>
    <w:rsid w:val="0087026E"/>
    <w:rsid w:val="0087087D"/>
    <w:rsid w:val="00874B0E"/>
    <w:rsid w:val="0088354A"/>
    <w:rsid w:val="00885C90"/>
    <w:rsid w:val="00890766"/>
    <w:rsid w:val="008944E8"/>
    <w:rsid w:val="008A4355"/>
    <w:rsid w:val="008A55DE"/>
    <w:rsid w:val="008B73B9"/>
    <w:rsid w:val="008D3D7C"/>
    <w:rsid w:val="008E3E52"/>
    <w:rsid w:val="008E7259"/>
    <w:rsid w:val="008F022A"/>
    <w:rsid w:val="008F1087"/>
    <w:rsid w:val="00901A81"/>
    <w:rsid w:val="00907571"/>
    <w:rsid w:val="009171AC"/>
    <w:rsid w:val="00921DA4"/>
    <w:rsid w:val="00930608"/>
    <w:rsid w:val="00930838"/>
    <w:rsid w:val="00930F84"/>
    <w:rsid w:val="0094213C"/>
    <w:rsid w:val="009435BC"/>
    <w:rsid w:val="009435CE"/>
    <w:rsid w:val="00946A9C"/>
    <w:rsid w:val="00951A25"/>
    <w:rsid w:val="0095293D"/>
    <w:rsid w:val="00952A41"/>
    <w:rsid w:val="0095691A"/>
    <w:rsid w:val="0096250E"/>
    <w:rsid w:val="0097293F"/>
    <w:rsid w:val="0097547F"/>
    <w:rsid w:val="00984ADE"/>
    <w:rsid w:val="009858EC"/>
    <w:rsid w:val="00985B27"/>
    <w:rsid w:val="009A5D7A"/>
    <w:rsid w:val="009D2160"/>
    <w:rsid w:val="009D49EA"/>
    <w:rsid w:val="009D6948"/>
    <w:rsid w:val="009D7DBB"/>
    <w:rsid w:val="009F07C8"/>
    <w:rsid w:val="00A029BF"/>
    <w:rsid w:val="00A10B29"/>
    <w:rsid w:val="00A143AC"/>
    <w:rsid w:val="00A223F4"/>
    <w:rsid w:val="00A2468A"/>
    <w:rsid w:val="00A256AA"/>
    <w:rsid w:val="00A2577E"/>
    <w:rsid w:val="00A32EEE"/>
    <w:rsid w:val="00A35A63"/>
    <w:rsid w:val="00A37345"/>
    <w:rsid w:val="00A5223A"/>
    <w:rsid w:val="00A534F8"/>
    <w:rsid w:val="00A55DB7"/>
    <w:rsid w:val="00A55F2B"/>
    <w:rsid w:val="00A561C0"/>
    <w:rsid w:val="00A617FB"/>
    <w:rsid w:val="00A777BF"/>
    <w:rsid w:val="00A83DA5"/>
    <w:rsid w:val="00A84A33"/>
    <w:rsid w:val="00A85FD3"/>
    <w:rsid w:val="00A96811"/>
    <w:rsid w:val="00AA222E"/>
    <w:rsid w:val="00AB5ADF"/>
    <w:rsid w:val="00AD3CD4"/>
    <w:rsid w:val="00AE2B52"/>
    <w:rsid w:val="00AE5AB3"/>
    <w:rsid w:val="00AF10C0"/>
    <w:rsid w:val="00AF3DA8"/>
    <w:rsid w:val="00AF5445"/>
    <w:rsid w:val="00B04BFF"/>
    <w:rsid w:val="00B060AF"/>
    <w:rsid w:val="00B12DF5"/>
    <w:rsid w:val="00B1700A"/>
    <w:rsid w:val="00B176AB"/>
    <w:rsid w:val="00B25205"/>
    <w:rsid w:val="00B34515"/>
    <w:rsid w:val="00B34F20"/>
    <w:rsid w:val="00B42382"/>
    <w:rsid w:val="00B51427"/>
    <w:rsid w:val="00B54275"/>
    <w:rsid w:val="00B5751D"/>
    <w:rsid w:val="00B63A9A"/>
    <w:rsid w:val="00B63F22"/>
    <w:rsid w:val="00B71714"/>
    <w:rsid w:val="00B77D6D"/>
    <w:rsid w:val="00B86798"/>
    <w:rsid w:val="00B90D61"/>
    <w:rsid w:val="00B970BB"/>
    <w:rsid w:val="00BA2B23"/>
    <w:rsid w:val="00BA5CF6"/>
    <w:rsid w:val="00BB07DC"/>
    <w:rsid w:val="00BB1E80"/>
    <w:rsid w:val="00BB2B45"/>
    <w:rsid w:val="00BB6203"/>
    <w:rsid w:val="00BC1630"/>
    <w:rsid w:val="00BC1AEC"/>
    <w:rsid w:val="00BC2105"/>
    <w:rsid w:val="00BC2DF6"/>
    <w:rsid w:val="00BC420B"/>
    <w:rsid w:val="00BC7BFF"/>
    <w:rsid w:val="00BD092F"/>
    <w:rsid w:val="00BD19F1"/>
    <w:rsid w:val="00BD2A88"/>
    <w:rsid w:val="00BD30DD"/>
    <w:rsid w:val="00BD3292"/>
    <w:rsid w:val="00BE09A7"/>
    <w:rsid w:val="00BE4187"/>
    <w:rsid w:val="00BE46C2"/>
    <w:rsid w:val="00BF28C2"/>
    <w:rsid w:val="00BF3A0D"/>
    <w:rsid w:val="00C01248"/>
    <w:rsid w:val="00C03277"/>
    <w:rsid w:val="00C04992"/>
    <w:rsid w:val="00C3178B"/>
    <w:rsid w:val="00C31874"/>
    <w:rsid w:val="00C37426"/>
    <w:rsid w:val="00C624FA"/>
    <w:rsid w:val="00C716A4"/>
    <w:rsid w:val="00C7352E"/>
    <w:rsid w:val="00C813ED"/>
    <w:rsid w:val="00C81876"/>
    <w:rsid w:val="00C84543"/>
    <w:rsid w:val="00C849DC"/>
    <w:rsid w:val="00C85218"/>
    <w:rsid w:val="00C85838"/>
    <w:rsid w:val="00C91445"/>
    <w:rsid w:val="00C94562"/>
    <w:rsid w:val="00CA1929"/>
    <w:rsid w:val="00CA2D31"/>
    <w:rsid w:val="00CB3370"/>
    <w:rsid w:val="00CB56C4"/>
    <w:rsid w:val="00CB737D"/>
    <w:rsid w:val="00CC283A"/>
    <w:rsid w:val="00CC400B"/>
    <w:rsid w:val="00CC4E2E"/>
    <w:rsid w:val="00CC68D2"/>
    <w:rsid w:val="00CD4820"/>
    <w:rsid w:val="00CE0AC6"/>
    <w:rsid w:val="00CE1925"/>
    <w:rsid w:val="00CE258B"/>
    <w:rsid w:val="00CE4C95"/>
    <w:rsid w:val="00CF3534"/>
    <w:rsid w:val="00CF54AF"/>
    <w:rsid w:val="00CF69B4"/>
    <w:rsid w:val="00D14655"/>
    <w:rsid w:val="00D15F01"/>
    <w:rsid w:val="00D16823"/>
    <w:rsid w:val="00D176B1"/>
    <w:rsid w:val="00D23EDC"/>
    <w:rsid w:val="00D32866"/>
    <w:rsid w:val="00D403EE"/>
    <w:rsid w:val="00D404F5"/>
    <w:rsid w:val="00D52279"/>
    <w:rsid w:val="00D55E5A"/>
    <w:rsid w:val="00D61F02"/>
    <w:rsid w:val="00D6308D"/>
    <w:rsid w:val="00D65128"/>
    <w:rsid w:val="00D657BA"/>
    <w:rsid w:val="00D666B4"/>
    <w:rsid w:val="00D66C24"/>
    <w:rsid w:val="00D90F6C"/>
    <w:rsid w:val="00D91704"/>
    <w:rsid w:val="00D95BD8"/>
    <w:rsid w:val="00DA0BDC"/>
    <w:rsid w:val="00DA0CD5"/>
    <w:rsid w:val="00DA2FF7"/>
    <w:rsid w:val="00DC69EA"/>
    <w:rsid w:val="00DD2343"/>
    <w:rsid w:val="00DE0BCB"/>
    <w:rsid w:val="00DE2C25"/>
    <w:rsid w:val="00DE4682"/>
    <w:rsid w:val="00DE5A76"/>
    <w:rsid w:val="00DE6EDD"/>
    <w:rsid w:val="00DF1997"/>
    <w:rsid w:val="00DF3733"/>
    <w:rsid w:val="00DF772D"/>
    <w:rsid w:val="00E04D7E"/>
    <w:rsid w:val="00E07C13"/>
    <w:rsid w:val="00E11A3C"/>
    <w:rsid w:val="00E17F3A"/>
    <w:rsid w:val="00E3741D"/>
    <w:rsid w:val="00E45E83"/>
    <w:rsid w:val="00E46861"/>
    <w:rsid w:val="00E522C5"/>
    <w:rsid w:val="00E56D2F"/>
    <w:rsid w:val="00E66B84"/>
    <w:rsid w:val="00E672AB"/>
    <w:rsid w:val="00E67AA6"/>
    <w:rsid w:val="00E7524E"/>
    <w:rsid w:val="00E81DFE"/>
    <w:rsid w:val="00E824A1"/>
    <w:rsid w:val="00E85BD2"/>
    <w:rsid w:val="00E92265"/>
    <w:rsid w:val="00E934E4"/>
    <w:rsid w:val="00E97F41"/>
    <w:rsid w:val="00EA202F"/>
    <w:rsid w:val="00EA20BF"/>
    <w:rsid w:val="00EA4BF1"/>
    <w:rsid w:val="00EA502F"/>
    <w:rsid w:val="00EA6F5F"/>
    <w:rsid w:val="00EB40D7"/>
    <w:rsid w:val="00EB4992"/>
    <w:rsid w:val="00EC66A3"/>
    <w:rsid w:val="00ED24CE"/>
    <w:rsid w:val="00ED32E7"/>
    <w:rsid w:val="00EE016E"/>
    <w:rsid w:val="00EE69EE"/>
    <w:rsid w:val="00EF51D7"/>
    <w:rsid w:val="00EF526D"/>
    <w:rsid w:val="00F02046"/>
    <w:rsid w:val="00F05490"/>
    <w:rsid w:val="00F12158"/>
    <w:rsid w:val="00F14366"/>
    <w:rsid w:val="00F14469"/>
    <w:rsid w:val="00F14C98"/>
    <w:rsid w:val="00F2634D"/>
    <w:rsid w:val="00F26DB0"/>
    <w:rsid w:val="00F430D5"/>
    <w:rsid w:val="00F479E9"/>
    <w:rsid w:val="00F5327C"/>
    <w:rsid w:val="00F61CCA"/>
    <w:rsid w:val="00F61F99"/>
    <w:rsid w:val="00F64BFA"/>
    <w:rsid w:val="00F66215"/>
    <w:rsid w:val="00F75853"/>
    <w:rsid w:val="00F8292C"/>
    <w:rsid w:val="00F8338E"/>
    <w:rsid w:val="00F8372B"/>
    <w:rsid w:val="00F9228A"/>
    <w:rsid w:val="00FA0AD4"/>
    <w:rsid w:val="00FA16C5"/>
    <w:rsid w:val="00FA1CE2"/>
    <w:rsid w:val="00FA4400"/>
    <w:rsid w:val="00FC60B3"/>
    <w:rsid w:val="00FC67D7"/>
    <w:rsid w:val="00FD11AC"/>
    <w:rsid w:val="00FD5D78"/>
    <w:rsid w:val="00FE0DFF"/>
    <w:rsid w:val="00FF1047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87DD"/>
  <w15:docId w15:val="{798D96CF-D0F9-426C-B0E8-FEE2027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8"/>
  </w:style>
  <w:style w:type="paragraph" w:styleId="2">
    <w:name w:val="heading 2"/>
    <w:basedOn w:val="a"/>
    <w:next w:val="a"/>
    <w:link w:val="20"/>
    <w:uiPriority w:val="9"/>
    <w:unhideWhenUsed/>
    <w:qFormat/>
    <w:rsid w:val="006D2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6D2C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0E9E4441229D735B53ED854FFBEB67D7AB7390E9B6B3C9F9F6B176D27A42C7C87050B9288D574oAh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2249CA7EA1C089C5468B84A8DA96BCF3BFB1AE18D0A6D290D54B17AG5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E84EE-3E41-4243-993D-7C8BDEA7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7</cp:revision>
  <cp:lastPrinted>2023-11-14T08:48:00Z</cp:lastPrinted>
  <dcterms:created xsi:type="dcterms:W3CDTF">2022-11-23T07:26:00Z</dcterms:created>
  <dcterms:modified xsi:type="dcterms:W3CDTF">2023-11-14T08:56:00Z</dcterms:modified>
</cp:coreProperties>
</file>