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102" w:rsidRDefault="00413102" w:rsidP="0041310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«Утверждено»</w:t>
      </w:r>
    </w:p>
    <w:p w:rsidR="0010263C" w:rsidRDefault="00413102" w:rsidP="0010263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</w:t>
      </w:r>
      <w:r w:rsidR="0010263C">
        <w:rPr>
          <w:rFonts w:ascii="Times New Roman" w:hAnsi="Times New Roman"/>
          <w:b/>
          <w:sz w:val="24"/>
          <w:szCs w:val="24"/>
        </w:rPr>
        <w:t xml:space="preserve">                        Глава Удобенского сельсовета 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10263C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F3118F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10263C">
        <w:rPr>
          <w:rFonts w:ascii="Times New Roman" w:hAnsi="Times New Roman"/>
          <w:b/>
          <w:sz w:val="24"/>
          <w:szCs w:val="24"/>
        </w:rPr>
        <w:t>Марчев А.И.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="0010263C">
        <w:rPr>
          <w:rFonts w:ascii="Times New Roman" w:hAnsi="Times New Roman"/>
          <w:b/>
          <w:sz w:val="24"/>
          <w:szCs w:val="24"/>
        </w:rPr>
        <w:t xml:space="preserve">                            «25» октября 2010</w:t>
      </w:r>
      <w:r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413102" w:rsidRDefault="00413102" w:rsidP="00413102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413102" w:rsidRDefault="00413102" w:rsidP="00413102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благоустройства территории </w:t>
      </w:r>
    </w:p>
    <w:p w:rsidR="00FC0392" w:rsidRDefault="00FC0392" w:rsidP="00413102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13102" w:rsidRDefault="00FC0392" w:rsidP="00F3118F">
      <w:pPr>
        <w:pStyle w:val="ConsPlusTitle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Удобенский сельсовет»</w:t>
      </w: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3102" w:rsidRDefault="00413102" w:rsidP="00413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Правила благоустройства территории </w:t>
      </w:r>
      <w:r w:rsidR="00FC0392">
        <w:rPr>
          <w:rFonts w:ascii="Times New Roman" w:hAnsi="Times New Roman" w:cs="Times New Roman"/>
          <w:sz w:val="28"/>
          <w:szCs w:val="28"/>
        </w:rPr>
        <w:t>муниципального образования  «Удобенский сельсовет»</w:t>
      </w:r>
      <w:r w:rsidR="00102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по тексту - Правила) разработаны в соответствии с Градостроительным кодексом РФ, Земельным кодексом РФ, Лесным кодексом РФ, Федеральным законом от 06 октября 2003 года № 131-ФЗ «Об общих принципах организации местного самоуправления в Российской Федерации»,  Федеральным законом от 30 марта         1999 года № 52-ФЗ «О санитарно-эпидемиологическом благополучии населения», Федеральным законом от 10 января 2002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7-ФЗ «Об охране окружающей среды»,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27 декабря 2011 года № 613 «Об утверждении Методических рекомендаций по разработке норм и правил по благоустройству территорий муниципальных образований», Законом Курской области №59-ЗКО «О порядке определения органами местного самоуправления Курской области границ прилегающих территорий» от 2</w:t>
      </w:r>
      <w:r w:rsidR="00E7246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.09.2018г., иными нормативными правовыми актами, регулирующими правоотношения по благоустройству, уборке, озеленению населенных пунктов.</w:t>
      </w:r>
      <w:proofErr w:type="gramEnd"/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Настоящие Правила устанавливают общие параметры и рекомендуемое минимальное сочетание элементов благоустройства для создания безопасной, удобной и привлекательной среды территорий муниципального образования.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Проектирование и эксплуатация элементов благоустройства обеспечивают требования охраны здоровья человека, исторической и природной среды, архитектурной привлекательности, создают технические возможности беспрепятственного передвижения маломобильных групп населения по территории.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Правила устанавливают обязательные нормы и требования в сфере благоустройства территории для всех юридических и физических лиц и форм хозяйственной деятельности,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выполнения, установление порядка участия собственников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зданий (помещений в них) и сооружений в благоустройстве прилегающих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территорий; организация благоустройства территории (включая освещение улиц, озеленение территории, установку указателей с наименованиями улиц и номерами домов, установку информационных дорожных модулей с информацией об объектах притяжения участников дорожного движения, размещение и содержание малых архитектурных форм), расположенных в границах Горшеченского района.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Основные понятия, используемые в настоящих  Правилах. 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Благоустройство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Элементы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нестационарные (некапитальные) сооружения, наружная реклама и информация, информационные объекты субъектов предпринимательства, указатели, информационные дорожные модули, используемые как составные части благоустройства.</w:t>
      </w:r>
      <w:proofErr w:type="gramEnd"/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Объекты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которых осуществляется деятельность по благоустройству: площадки, дворы, кварталы, функционально-планировочные образования,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Архитектурный облик здания, строения, сооружения</w:t>
      </w:r>
      <w:r>
        <w:rPr>
          <w:rFonts w:ascii="Times New Roman" w:hAnsi="Times New Roman" w:cs="Times New Roman"/>
          <w:sz w:val="28"/>
          <w:szCs w:val="28"/>
        </w:rPr>
        <w:t xml:space="preserve"> – внешний облик здания, строения, сооружения, созданный на основе архитектурного проекта.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Архитектурный облик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– формируется из исторически сложившегося архитектурно-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планировочного 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архитектурного облика, улиц,  архитектурного облика зданий, сооружений, малых архитектурных форм, а также объектов, которые ввиду своих художественных, конструктивных или иных качеств концентрируют на себе внимание зрителя, а также формируют зрительные архитектурные акценты, составляющие художественное своеобразие. 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Уборка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Крупногабаритный мусор (КГМ)</w:t>
      </w:r>
      <w:r>
        <w:rPr>
          <w:rFonts w:ascii="Times New Roman" w:hAnsi="Times New Roman" w:cs="Times New Roman"/>
          <w:sz w:val="28"/>
          <w:szCs w:val="28"/>
        </w:rPr>
        <w:t xml:space="preserve"> - отходы потребления и хозяйственной деятельности (бытовая техника, мебель и др.), утратившие свои потребительские свойства, не помещающиеся по габаритам в стандартные контейнеры.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Контейнер </w:t>
      </w:r>
      <w:r>
        <w:rPr>
          <w:rFonts w:ascii="Times New Roman" w:hAnsi="Times New Roman" w:cs="Times New Roman"/>
          <w:sz w:val="28"/>
          <w:szCs w:val="28"/>
        </w:rPr>
        <w:t>- стандартная емкость для сбора ТБО вместимостью 0,75 куб.м.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Несанкционированная свалка мусора</w:t>
      </w:r>
      <w:r>
        <w:rPr>
          <w:rFonts w:ascii="Times New Roman" w:hAnsi="Times New Roman" w:cs="Times New Roman"/>
          <w:sz w:val="28"/>
          <w:szCs w:val="28"/>
        </w:rPr>
        <w:t xml:space="preserve"> - самовольный сброс (размещение) или складирование ТБО, КГМ, отходов производства и строительства, другого мусора, образованного в процессе деятельности юридических или физических лиц.</w:t>
      </w:r>
    </w:p>
    <w:p w:rsidR="00413102" w:rsidRDefault="00413102" w:rsidP="004131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Прилегающая территория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территория, непосредственно примыкающая к границам здания, сооружения, ограждения, к строительной площадке, объектам торговли, рекламы и иным объектам, находящимся в собственности, владении, аренде, на балансе у юридических или физических лиц </w:t>
      </w:r>
      <w:proofErr w:type="gramEnd"/>
    </w:p>
    <w:p w:rsidR="00413102" w:rsidRDefault="00413102" w:rsidP="004131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Элементы благоустройства территории</w:t>
      </w:r>
    </w:p>
    <w:p w:rsidR="00413102" w:rsidRDefault="00413102" w:rsidP="004131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2.1. Элементы инженерной подготовки и защиты территории.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реконструкции. Организацию рельефа реконструируемой территории, как правило, следует ориентировать на максимальное сохранение рельефа, почвенного покрова, имеющихся зеленых насаждений, условий существующего поверхностного водоотвода, использование вытесняемых грунтов на площадке строительства.</w:t>
      </w:r>
    </w:p>
    <w:p w:rsidR="00413102" w:rsidRDefault="00413102" w:rsidP="004131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2.2. Озеленение.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Озеленение - элемент благоустройства и ландшафтной организации территории, обеспечивающий формирование среды с активным использованием растительных компонентов, а также поддержание ранее созданной или изначально существующей природной среды на территории. 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Основными типами насаждений и озеленения могут являться: массивы, группы, солитеры, живые изгороди, кулисы, боскеты, шпалеры, газоны, цветники, различные виды посадок (аллейные, рядовые, букетные и др.).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зависимости от выбора типов насаждений определяется объёмно-пространственная структура насаждений и обеспечивается визуально-композиционные и функциональные связи участков озелененных территорий между собой и с застройкой населенного пункта.</w:t>
      </w:r>
    </w:p>
    <w:tbl>
      <w:tblPr>
        <w:tblW w:w="9445" w:type="dxa"/>
        <w:tblCellSpacing w:w="15" w:type="dxa"/>
        <w:tblInd w:w="30" w:type="dxa"/>
        <w:tblLook w:val="00A0" w:firstRow="1" w:lastRow="0" w:firstColumn="1" w:lastColumn="0" w:noHBand="0" w:noVBand="0"/>
      </w:tblPr>
      <w:tblGrid>
        <w:gridCol w:w="3195"/>
        <w:gridCol w:w="6250"/>
      </w:tblGrid>
      <w:tr w:rsidR="00413102" w:rsidTr="0041310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13102" w:rsidRDefault="0041310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2.2.3. На территории населенных пунктов устанавливаются следующие доли цветников на озелененных территориях вновь проектируемых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рекреации (в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процентах):</w:t>
            </w:r>
          </w:p>
          <w:p w:rsidR="00413102" w:rsidRDefault="0041310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3102" w:rsidRDefault="0041310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Виды объектов рекреации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Удельный вес цветников от площади озеленения   объектов </w:t>
            </w: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Парки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2,0-2,5 </w:t>
            </w: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Сады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2,5-3,0 </w:t>
            </w: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4,0-5,0 </w:t>
            </w: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Бульвары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3,0-4,0 </w:t>
            </w: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этом не менее половины от площади цветника формируются из многолетников. </w:t>
            </w:r>
          </w:p>
        </w:tc>
      </w:tr>
    </w:tbl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Собственники участков, на которых находятся зеленые насаждения, обязаны  обеспечить целевое назначение зеленых насаждений.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использование зеленых насаждений  для любых иных целей, в том числе расклеивания, размещения, крепления афиш, объявлений, иной малоформатной  информации, в том числе рекламной.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2.3. Виды покрытий.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Покрытия поверхности обеспечивают на территории  условия безопасного и комфортного передвижения, а также формируют архитектурно-художественный облик среды. Для целей благоустройства территории рекомендуется определять следующие виды покрытий: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>твердые</w:t>
      </w:r>
      <w:r>
        <w:rPr>
          <w:rFonts w:ascii="Times New Roman" w:hAnsi="Times New Roman" w:cs="Times New Roman"/>
          <w:sz w:val="28"/>
          <w:szCs w:val="28"/>
        </w:rPr>
        <w:t xml:space="preserve"> (капитальные) - монолитные или сборные, выполняемые из асфальтобетона,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цементобетона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природного камня и т.п. материалов;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>мягкие</w:t>
      </w:r>
      <w:r>
        <w:rPr>
          <w:rFonts w:ascii="Times New Roman" w:hAnsi="Times New Roman" w:cs="Times New Roman"/>
          <w:sz w:val="28"/>
          <w:szCs w:val="28"/>
        </w:rPr>
        <w:t xml:space="preserve"> (некапитальные) - выполняемые из природных или искусственных сыпучих материалов (песок, щебень, гранитные высевки, керамзит, резиновая крошка и др.), находящихся в естественном состоянии, сухих смесях, уплотненных или укрепленных вяжущими;</w:t>
      </w:r>
    </w:p>
    <w:p w:rsidR="00413102" w:rsidRDefault="00413102" w:rsidP="004131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single"/>
        </w:rPr>
        <w:t>газонные</w:t>
      </w:r>
      <w:r>
        <w:rPr>
          <w:rFonts w:ascii="Times New Roman" w:hAnsi="Times New Roman" w:cs="Times New Roman"/>
          <w:sz w:val="28"/>
          <w:szCs w:val="28"/>
        </w:rPr>
        <w:t>, выполняемые по специальным технологиям подготовки и посадки травяного покрова;</w:t>
      </w:r>
    </w:p>
    <w:p w:rsidR="00413102" w:rsidRDefault="00413102" w:rsidP="004131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комбинированные</w:t>
      </w:r>
      <w:r>
        <w:rPr>
          <w:rFonts w:ascii="Times New Roman" w:hAnsi="Times New Roman" w:cs="Times New Roman"/>
          <w:sz w:val="28"/>
          <w:szCs w:val="28"/>
        </w:rPr>
        <w:t>, представляющие сочетания покрытий, указанных выше (например, плитка, утопленная в газон и т.п.).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Вид покрытия определяется  при проведении проектирования объекта и является обязательным условием ввода объекта в эксплуатацию.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Правообладатель земельного участка, а также лица, у которого в соответствии с действующим законодательством, муниципальными правовыми актами или договором существует обязанность по уборке или благоустройству этой территории, обязан обеспечить содержание покрытия в состоянии, которое было на момент ввода объекта в эксплуатацию,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естественного износа. Возникшие повреждения покрытия должны быть устранены в 10-дневный срок, за исключением твердых покрытий, поврежденных в результате погодных условий в зимний период, которые должны быть восстановлены не позднее  1 мая.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2.3.4. Не допускается применение в качестве покрытия кафельной, метлахской плитки, гладких или отполированных плит из искусственного и естественного камня на территории пешеходных коммуникаций, на ступенях лестниц, площадках крылец входных групп зданий.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2.3.5. Для деревьев, расположенных в мощении, при отсутствии иных видов защиты (приствольных решеток, бордюров,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периметральных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скамеек и пр.) должны выполняться защитные виды покрытий в радиусе не менее 1,5 м от ствола: щебеночное, галечное, «соты» с засевом газона. Защитное покрытие может быть выполнено в одном уровне или выше покрытия пешеходных коммуникаций.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2.3.6. Колористическое решение применяемого вида покрытия рекомендуется выполнять с учетом цветового решения формируемой среды, а на территориях общественных пространств - соответствующей концепции цветового решения этих территорий, согласованной  органом исполнительной власти.</w:t>
      </w: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2.4. Сопряжения поверхностей.</w:t>
      </w:r>
    </w:p>
    <w:p w:rsidR="00413102" w:rsidRDefault="00413102" w:rsidP="004131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К элементам сопряжения поверхностей обычно относят различные виды бортовых камней, пандусы, ступени, лестницы.</w:t>
      </w:r>
    </w:p>
    <w:p w:rsidR="00413102" w:rsidRDefault="00413102" w:rsidP="004131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Бортовые камни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На стыке тротуара и проезжей части, как правило, следует устанавливать дорожные бортовые камни. Бортовые камни рекомендуется устанавливать с нормативным превышением над уровнем проезжей части не менее 150 мм, которое должно сохраняться и в случае ремонта поверхностей покрытий.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улицах, а также площадках автостоянок при крупных объектах обслуживания.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2.4.3. При сопряжении покрытия пешеходных коммуникаций с газоном можно устанавливать садовый борт, дающий превышение над уровнем газона не менее 50 мм на расстоянии не менее 0,5 м, что защищает газон и предотвращает попадание грязи и растительного мусора на покрытие, увеличивая срок его службы. На территории пешеходных зон возможно использование естественных материалов (кирпич, дерево, валуны, керамический борт и т.п.) для оформления примыкания различных типов покрытия.</w:t>
      </w:r>
    </w:p>
    <w:p w:rsidR="00413102" w:rsidRDefault="00413102" w:rsidP="0041310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Ступени, лестницы, пандусы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2.4.4. При уклонах пешеходных коммуникаций более 6% предусматривается  устройство лестниц. На основных пешеходных коммуникациях в местах размещения учреждений здравоохранения и других объектов массового посещения, домов инвалидов и престарелых ступени и лестницы следует предусматривать при уклонах более 5%, обязательно сопровождая их пандусом. При пересечении основных пешеходных </w:t>
      </w:r>
      <w:r>
        <w:rPr>
          <w:rFonts w:ascii="Times New Roman" w:hAnsi="Times New Roman" w:cs="Times New Roman"/>
          <w:sz w:val="28"/>
          <w:szCs w:val="28"/>
        </w:rPr>
        <w:lastRenderedPageBreak/>
        <w:t>коммуникаций с проездами или в иных случаях, оговоренных в задании на проектирование, следует предусматривать бордюрный пандус для обеспечения спуска с покрытия тротуара на уровень дорожного покрытия.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2.4.5. При проектировании открытых лестниц на перепадах рельефа высоту ступеней рекомендуется назначать не более 120 мм, ширину - не менее 400 мм и уклон 1-2% в сторону вышележащей ступени. После каждых 10-12 ступеней рекомендуется устраивать площадки длиной не менее 1,5 м. Край первых ступеней лестниц при спуске и подъеме рекомендуется выделять полосами яркой контрастной окраски. Все ступени наружных лестниц в пределах одного марша следует устанавливать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одинаковыми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ширине и высоте подъема ступеней. При проектировании лестниц в условиях реконструкции сложившихся территорий  высота ступеней может быть увеличена до 150 мм, а ширина ступеней и длина площадки - уменьшена до 300 мм и 1,0 м соответственно.</w:t>
      </w:r>
    </w:p>
    <w:p w:rsidR="00413102" w:rsidRDefault="00413102" w:rsidP="00413102">
      <w:pPr>
        <w:spacing w:after="0" w:line="240" w:lineRule="auto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</w:p>
    <w:p w:rsidR="00413102" w:rsidRDefault="00413102" w:rsidP="00413102">
      <w:pPr>
        <w:spacing w:after="0" w:line="240" w:lineRule="auto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2.5. Ограждения.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благоустройства на территории рекомендуется предусматривать применение различных видов ограждений, которые различаются: по назначению (декоративные, защитные, их сочетание), высоте (низкие - 0,3-1,0 м, средние - 1,1-1,7 м, высокие - 1,8-3,0 м),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  <w:proofErr w:type="gramEnd"/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2.5.2. Проектирование ограждений рекомендуется производить в зависимости от их местоположения и назначения согласно ГОСТам, каталогам сертифицированных изделий, проектам индивидуального проектирования.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2.5.3. Ограждение территорий памятников историко-культурного наследия рекомендуется выполнять в соответствии с регламентами, установленными для данных территорий.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2.5.4. На территориях общественного, жилого, рекреационного назначения не рекомендуется проектирование глухих и железобетонных ограждений. Рекомендуется применение декоративных металлических ограждений.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2.5.5. Рекомендуется предусматривать размещение защитных металлических ограждений высотой не менее 0,5 м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вытаптывания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троп через газон. Ограждения рекомендуется размещать на территории газона с отступом от границы примыкания порядка 0,2-0,3 м.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2.5.6.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0,9 м и более, </w:t>
      </w:r>
      <w:r>
        <w:rPr>
          <w:rFonts w:ascii="Times New Roman" w:hAnsi="Times New Roman" w:cs="Times New Roman"/>
          <w:sz w:val="28"/>
          <w:szCs w:val="28"/>
        </w:rPr>
        <w:lastRenderedPageBreak/>
        <w:t>диаметром 0,8 м и более в зависимости от возраста, породы дерева и прочих характеристик.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2.5.7. Запрещается использование ограждений, установленных на магистральных улицах, для расклеивания, размещения, крепления афиш, объявлений, иной  информации, в том числе рекламной.</w:t>
      </w:r>
    </w:p>
    <w:p w:rsidR="00413102" w:rsidRDefault="00413102" w:rsidP="00413102">
      <w:pPr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pacing w:after="0" w:line="240" w:lineRule="auto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2.6. Малые архитектурные формы.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2.6.1. К малым архитектурным формам (МАФ) относятся: элементы монументально-декоративного оформления, устройства для оформления мобильного и </w:t>
      </w:r>
      <w:hyperlink r:id="rId5" w:anchor="3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вертикального озеленения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водные устройства, городская мебель, коммунально-бытовое и техническое оборудование на территории города Курска. 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Запрещается использование малых архитектурных форм для  размещения, крепления афиш, объявлений, иной  информации, в том числе рекламной.</w:t>
      </w: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Устройства для оформления озеленения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2.6.3. Для оформления мобильного и вертикального озеленения рекомендуется применять следующие виды устройств: трельяжи, шпалеры,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перголы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цветочницы, вазоны. Трельяж и шпалера - легкие деревянные или металлические конструкции в виде решетки для озеленения вьющимися или опирающимися растениями, могут использоваться для организации уголков тихого отдыха, укрытия от солнца, ограждения площадок, технических устройств и сооружений.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Пергола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легкое решетчатое сооружение из дерева или металла в виде беседки, галереи или навеса, используется как «зеленый тоннель», переход между площадками или архитектурными объектами. Цветочницы, вазоны - небольшие емкости с растительным грунтом, в которые высаживаются цветочные растения.</w:t>
      </w:r>
    </w:p>
    <w:p w:rsidR="00413102" w:rsidRDefault="00413102" w:rsidP="00413102">
      <w:pPr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pacing w:after="0" w:line="240" w:lineRule="auto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Водные устройства</w:t>
      </w:r>
    </w:p>
    <w:p w:rsidR="00413102" w:rsidRDefault="00413102" w:rsidP="00413102">
      <w:pPr>
        <w:spacing w:after="0" w:line="240" w:lineRule="auto"/>
        <w:ind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2.6.4. К водным устройствам относятся фонтаны, питьевые фонтанчики, бюветы, родники, декоративные водоемы. Водные устройства выполняют декоративно-эстетическую функцию, улучшают микроклимат, воздушную и акустическую среду. Водные устройства всех видов следует снабжать водосливными трубами, отводящими избыток воды в дренажную сеть и ливневую канализацию.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2.6.5. Качество воды в родниках на территории должно контролироваться в плановом порядке. На особо охраняемых территориях природного комплекса для обустройства родников требуется согласие уполномоченных органов природопользования и охраны окружающей среды. Родники должны быть оборудованы подходом 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413102" w:rsidRDefault="00413102" w:rsidP="0041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2.6.6. Декоративные водоемы рекомендуется сооружать с использованием рельефа или на ровной поверхности в сочетании с газоном, </w:t>
      </w:r>
      <w:r>
        <w:rPr>
          <w:rFonts w:ascii="Times New Roman" w:hAnsi="Times New Roman" w:cs="Times New Roman"/>
          <w:sz w:val="28"/>
          <w:szCs w:val="28"/>
        </w:rPr>
        <w:lastRenderedPageBreak/>
        <w:t>плиточным покрытием, цветниками, древесно-кустарниковыми посадками. Дно водоема рекомендуется делать гладким, удобным для очистки. Рекомендуется использование приемов цветового и светового оформления.</w:t>
      </w:r>
    </w:p>
    <w:p w:rsidR="00413102" w:rsidRDefault="00413102" w:rsidP="00413102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Уличное коммунально-бытовое оборудование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2.6.7. Уличное коммунально-бытовое оборудование представлено различными видами мусоросборников - контейнеров и урн. Основными требованиями при выборе того или иного вида коммунально-бытового оборудования могут являться: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безопасность (отсутствие острых углов), удобство в пользовании, легкость очистки, привлекательный внешний вид. Установка уличного коммунально-бытового оборудования должна осуществляться на твердые виды покрытия или фундамент. В зонах отдыха, лесопарках, детских площадках может допускаться установка уличного коммунально-бытового оборудования  на мягкие виды покрытия.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2.6.8. Для сбора бытового мусора на улицах, площадях применяются малогабаритные (малые) контейнеры (менее 0,5 куб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и (или) урны, устанавливаемые у входов: в объекты торговли и общественного питания, другие учреждения общественного назначения, жилые дома и сооружения транспорта. Интервал при расстановке малых контейнеров и урн (без учета обязательной расстановки у вышеперечисленных объектов) может составлять: на основных пешеходных коммуникациях - не более 60 м, других территориях  - не более 100 м.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Малые контейнеры и урны устанавливаются у скамей, нестационарных (некапитальных) сооружений и уличного технического оборудования, ориентированных на продажу продуктов питания. Кроме того, урны следует устанавливать на остановках общественного транспорта. Во всех случаях следует предусматривать расстановку, не мешающую передвижению пешеходов, проезду инвалидных и детских колясок.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2.6.9. Собственники объектов, указанных  в пункте 2.6.11 настоящих правил, обязаны обеспечить установку контейнеров и урн, их надлежащее содержание, своевременную уборку, не допуская их переполнение и загрязнение территории.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ind w:firstLine="708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Уличное техническое оборудование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2.6.10. К уличному техническому оборудованию относятся: укрытия таксофонов, почтовые ящики, автоматы по продаже воды и др., элементы инженерного оборудования (подъемные площадки для инвалидных колясок, смотровые люки, решетки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колодцев, вентиляционные шахты подземных коммуникаций, шкафы телефонной связи и т.п.).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2.6.11. Установка уличного технического оборудования должна обеспечивать удобный подход к оборудованию и соответствовать разделу 3 СНиП 59/13330/2012.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2.6.12. При установке таксофонов на территориях общественного, жилого, рекреационного назначения рекомендуется предусматривать 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электроосвещение. Места размещения таксофонов рекомендуется проектировать в максимальном приближении от мест присоединения закладных устройств канала (трубы) телефонной канализации и канала (трубы) для электроосвещения. Кроме этого, рекомендуется не менее одного из таксофонов (или одного в каждом ряду) устанавливать на такой высоте, чтобы уровень щели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монетоприемника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покрытия составлял 1,3 м; уровень приемного отверстия почтового ящика рекомендуется располагать от уровня покрытия на высоте 1,3 м.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2.6.13.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Рекомендуется выполнять оформление элементов инженерного оборудования, не нарушающих уровень благоустройства формируемой среды, ухудшающих условия передвижения, противоречащей техническим условиям, в том числе:</w:t>
      </w:r>
      <w:proofErr w:type="gramEnd"/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крышки люков смотровых колодцев, расположенных на территории пешеходных коммуникаций (в т.ч. уличных переходов), следует проектировать, как правило, в одном уровне с покрытием прилегающей поверхности, в ином случае перепад отметок не превышающий 20 мм, а зазоры между краем люка и покрытием тротуара - не более 15 мм;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вентиляционные шахты оборудовать решетками.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2.6.14. Уличное техническое оборудование  устанавливается только на твердые виды покрытия или фундамент. Установка на мягкие виды покрытий не допускается.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2.6.15. Установка уличного технического оборудования на газонах, клумбах, цветниках запрещена.</w:t>
      </w: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2.7. Игровое и спортивное оборудование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 Игровое и спортивное оборудование на территории  представлено игровыми, физкультурно-оздоровительными устройствами, сооружениями и (или) их комплексами. При выборе состава игрового и спортивного оборудования для детей и подростков рекомендуется обеспечивать соответствие оборудования анатомо-физиологическим особенностям разных возрастных групп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Следует учитывать, что 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2.7.3. Рекомендуется предусматривать следующие требования к материалу игрового оборудования и условиям его обработки: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деревянное оборудование, выполненное из твердых пород дерева со специальной обработкой, предотвращающей гниение, усыхание, возгорание, сколы, отполированное, острые углы закруглены;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металл следует применять преимущественно для несущих конструкций оборудования, которые должны иметь надежные соединения и соответствующую обработку (влагостойкая покраска, антикоррозийное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покрытие); рекомендуется применять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металлопластик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(не травмирует, не ржавеет, морозоустойчив);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бетонные и железобетонные элементы оборудования следует выполнять из бетона марки не ниже 300, морозостойкостью не менее 150, иметь гладкие поверхности;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оборудование из пластика и полимеров следует выполнять с гладкой поверхностью и яркой, чистой цветовой гаммой окраски, не выцветающей от воздействия климатических факторов.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2.7.4. В требованиях к конструкциям игрового оборудования рекомендуется исключать острые углы,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застревание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2 м необходимо предусматривать возможность доступа внутрь в виде отверстий (не менее двух) диаметром не менее 500 мм.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2.7.5. Установлены следующие минимальные расстояния безопасности при размещении игрового оборудования на детских игровых площадках:</w:t>
      </w:r>
    </w:p>
    <w:tbl>
      <w:tblPr>
        <w:tblW w:w="0" w:type="auto"/>
        <w:tblCellSpacing w:w="15" w:type="dxa"/>
        <w:tblLook w:val="00A0" w:firstRow="1" w:lastRow="0" w:firstColumn="1" w:lastColumn="0" w:noHBand="0" w:noVBand="0"/>
      </w:tblPr>
      <w:tblGrid>
        <w:gridCol w:w="2168"/>
        <w:gridCol w:w="7277"/>
      </w:tblGrid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Игровое оборудование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Минимальные расстояния </w:t>
            </w: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Качели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1,5 м в стороны от боковых конструкций и не менее 2,0 м вперед (назад) от крайних точек качели в состоянии наклона </w:t>
            </w: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Качалки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1,0 м в стороны от боковых конструкций и не менее 1,5 м вперед от крайних точек качалки в состоянии наклона </w:t>
            </w: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Карусели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2 м в стороны от боковых конструкций и не менее 3 м вверх от нижней вращающейся поверхности карусели </w:t>
            </w:r>
          </w:p>
        </w:tc>
      </w:tr>
      <w:tr w:rsidR="00413102" w:rsidTr="0041310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Горки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13102" w:rsidRDefault="00413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1 м от боковых сторон и 2 м вперед от нижнего края ската горки. </w:t>
            </w:r>
          </w:p>
        </w:tc>
      </w:tr>
    </w:tbl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пределах указанных расстояний на участках территории площадки не допускается размещения других видов игрового оборудования, скамей, урн, бортовых камней и твердых видов покрытия, а также веток, стволов, корней деревьев.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2.7.6. Спортивное оборудование предназначено для всех возрастных групп населения, размещается на спортивных, физкультурных площадках, либо на специально оборудованных пешеходных коммуникациях (тропы здоровья) в составе рекреаций.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т.п.). При размещении следует руководствоваться каталогами сертифицированного оборудования.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ind w:firstLine="708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2.8. Освещение и осветительное оборудование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В различных градостроительных условиях рекомендуется предусматривать функциональное, архитектурное и информационное освещение с целью решения утилитарных,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светопланировочных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светокомпозиционных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задач, в т.ч. при необходимости светоцветового зонирования территорий  и формирования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светопространственных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ансамблей.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2.8.2. При проектировании каждой из трех основных групп осветительных установок (функционального, архитектурного освещения, световой информации) рекомендуется обеспечивать: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количественные и качественные показатели, предусмотренные действующими нормами искусственного освещения селитебных территорий и наружного архитектурного освещения (СНиП 23-05);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надежность работы установок согласно Правилам устройства электроустановок (ПУЭ), безопасность населения, обслуживающего персонала и, в необходимых случаях, защищенность от вандализма;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экономичность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применяемых установок, рациональное распределение и использование электроэнергии;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удобство обслуживания и управления при разных режимах работы установок.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Функциональное освещение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2.8.3. Функциональное освещение (ФО) осуществляется стационарными установками освещения дорожных покрытий и простран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анспортных и пешеходных зонах, дворовых и иных территорий. Установки ФО, как правило, подразделяют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обычные,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высокомачтовые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>, парапетные, газонные и встроенные.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2.8.4. В обычных установках светильники рекомендуется располагать на опорах (венчающие, консольные), подвесах или фасадах (бра, плафоны) на высоте от 3 до 15 м. Их рекомендуется применять в транспортных и пешеходных зонах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дворовых территориях как наиболее традиционные.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2.8.5.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высокомачтовых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установках осветительные приборы (прожекторы или светильники) рекомендуется располагать на опорах на высоте 20 и более метров. Эти установки рекомендуется использовать для освещения обширных пространств, транспортных развязок и магистралей, открытых паркингов.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2.8.6. В парапетных установках светильники рекомендуется встраивать линией или пунктиром в парапет высотой до 1,2 метров, ограждающий проезжую часть путепроводов, мостов, эстакад, пандусов, развязок, а также тротуары и площадки. Их применение рекомендуется обосновать технико-экономическими и (или) художественными аргументами.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2.8.7. Светильники, встроенные в ступени, подпорные стенки, ограждения, цоколи зданий и сооружений, МАФ, рекомендуется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использовать для освещения пешеходных зон территорий общественного назначения.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2.8.8. Собственники зданий, строений, сооружений, правообладатели земельных участков обязаны обеспечить их функциональное освещение объектов и земельных участков. Восстановление вышедших из строя объектов функционального освещения осуществляется указанными лицами не долее чем в 3-х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срок.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ind w:firstLine="708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Архитектурное освещение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2.8.9. Архитектурное освещение (АО) рекомендуется применять для формирования художественно выразительной визуальной среды в вечернее время, выявления из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ландшафтных композиций, создания световых ансамблей, иных зданий, строений, сооружений. Оно обычно осуществляется стационарными или временными установками освещения объектов, главным образом, наружного освещения их фасадных поверхностей.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2.8.10. К временным установкам АО относится праздничная иллюминация: световые гирлянды, сетки, контурные обтяжки,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светографические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элементы, панно и объемные композиции из ламп накаливания, разрядных, светодиодов,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световодов</w:t>
      </w:r>
      <w:proofErr w:type="spellEnd"/>
      <w:r>
        <w:rPr>
          <w:rFonts w:ascii="Times New Roman" w:hAnsi="Times New Roman" w:cs="Times New Roman"/>
          <w:sz w:val="28"/>
          <w:szCs w:val="28"/>
        </w:rPr>
        <w:t>, световые проекции, лазерные рисунки и т.п.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2.8.11. В целях архитектурного освещения могут использоваться также установки ФО - для монтажа прожекторов, нацеливаемых на фасады зданий, сооружений,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2.8.12. Объекты капитального строительства должны быть обеспечены фасадным архитектурным освещением по проекту. Данное требование не распространяется на многоквартирные жилые дома.</w:t>
      </w: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Световая информация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2.8.13. Световая информация (СИ), в том числе, световая реклама, как правило, должна помогать ориентации пешеходов и водителей автотранспорта в городском пространстве и участвовать в решении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светокомпозиционных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задач. Рекомендуется учитывать размещение, габариты, формы и светоцветовые параметры элементов такой информации, обеспечивающие четкость восприятия с расчетных расстояний и гармоничность светового ансамбля, не противоречащую действующим правилам дорожного движения, не нарушающую комфортность проживания населения.</w:t>
      </w:r>
    </w:p>
    <w:p w:rsidR="00413102" w:rsidRDefault="00413102" w:rsidP="0041310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Источники света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2.8.14. В стационарных установках ФО и АО рекомендуется применять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источники света, эффективные осветительные приборы и системы, качественные по дизайну и эксплуатационным характеристикам изделия и материалы: опоры, кронштейны, защитные решетки, экраны и конструктивные элементы, отвечающие требованиям действующих национальных стандартов.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2.8.15. Источники света в установках ФО рекомендуется выбирать с учетом требований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2.8.16. В установках АО и СИ рекомендуются к использованию источники белого или цветного света с учетом формируемых условий световой и цветовой адаптации и суммарный зрительный эффект, создаваемый совместным действием осветительных установок всех групп, особенно с хроматическим светом, функционирующих в конкретном пространстве населенного пункта или световом ансамбле.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ind w:firstLine="708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Освещение транспортных и пешеходных зон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2.8.17. В установках ФО транспортных и </w:t>
      </w:r>
      <w:hyperlink r:id="rId6" w:anchor="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пешеходных зон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 рекомендуется применять осветительные приборы направленного в нижнюю полусферу прямого, рассеянного или отраженного света. Применение светильников с неограниченным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светораспределением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(типа шаров из прозрачного или светорассеивающего материала) допускается в установках: газонных, на фасадах (типа бра и плафонов) и на опорах с венчающими и консольными приборами. Установка последних рекомендуется на озелененных территориях или на фоне освещенных фасадов зданий, сооружений, склонов рельефа.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2.8.18. Для освещения проезжей части улиц и сопутствующих им тротуаров рекомендуется в зонах интенсивного пешеходного движения применять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двухконсольные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опоры со светильниками на разной высоте, снабженными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разноспектральными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источниками света.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2.8.19. Выбор типа, расположения и способа установки светильников ФО транспортных и пешеходных зон рекомендуется осуществлять с учетом формируемого масштаба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светопространств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 проезжей частью улиц, дорог и площадей светильники на опорах рекомендуется устанавливать на высоте не менее 8 м. В пешеходных зонах высота установки светильников на опорах может приниматься, как правило, не менее 3,5 м и не более 5,5 м. Светильники (бра, плафоны) для освещения проездов, тротуаров и площадок, расположенных у зданий, рекомендуется устанавливать на высоте не менее 3 м.</w:t>
      </w:r>
      <w:proofErr w:type="gramEnd"/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2.8.20.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Опоры уличных светильников для освещения проезжей части магистральных улиц (общегородских и районных) могут располагаться на расстоянии не менее 0,6 м от лицевой грани бортового камня до цоколя опоры, на уличной сети местного значения это расстояние допускается уменьшать до 0,3 м при условии отсутствия автобусного или троллейбусного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движения, а также регулярного движения грузовых машин.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Следует учитывать, что опора не должна находиться между пожарным гидрантом и проезжей частью улиц и дорог.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2.8.21. Опоры на пересечениях магистральных улиц и дорог, как правило, устанавливаются до начала закругления тротуаров и не ближе 1,5 м от различного рода въездов, не нарушая единого строя линии их установки.</w:t>
      </w: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Режимы работы осветительных установок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2.8.22. При проектировании всех трех групп осветительных установок (ФО, АО, СИ)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работы: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вечерний будничный режим, когда функционируют все стационарные установки ФО, АО и СИ, за исключением систем праздничного освещения;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ночной дежурный режим, когда в установках ФО, АО и СИ может отключаться часть осветительных приборов, допускаемая нормами освещенности;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сезонный режим, предусматриваемый главным образом в рекреационных зонах для стационарных и временных установок ФО и АО в определенные сроки (зимой, осенью).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2.8.23.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 лк. Отключение рекомендуется производить: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установок АО - в соответствии с правовыми актами,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большинства освещаемых объектов назначает вечерний режим в зимнее и летнее полугодие до полуночи и до часу ночи соответственно, а на ряде объектов (вокзалы, градостроительные доминанты, и т.п.) установки АО могут функционировать от заката до рассвета;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установок СИ - по решению соответствующих ведомств или владельцев.</w:t>
      </w: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2.9. Наружная реклама  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2.9.1.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iCs/>
          <w:sz w:val="28"/>
          <w:szCs w:val="28"/>
        </w:rPr>
        <w:t xml:space="preserve">аспространение наружной рекламы с использованием щитов, стендов, строительных сеток, перетяжек, электронных табло, воздушных шаров, аэростатов и иных технических средств стабильного территориального размещения (далее - рекламных конструкций), монтируемых и располагаемых на внешних стенах, крышах и иных конструктивных элементах зданий, строений, сооружений или вне их, а также остановочных пунктов движения общественного транспорта осуществляется владельцем рекламной конструкции, являющимся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рекламораспространителем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, при наличии разрешения на установку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рекламной конструкции, выданного Администрацией Горшеченского района.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2.9.2. При присоединении рекламных конструкций к фасадам зданий  должны быть соблюдены ограничения и требования к содержанию зданий и фасадов, установленные настоящими Правилами.  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2.9.3. При  размещении рекламной конструкции </w:t>
      </w:r>
      <w:r>
        <w:rPr>
          <w:rFonts w:ascii="Times New Roman" w:hAnsi="Times New Roman" w:cs="Times New Roman"/>
          <w:sz w:val="28"/>
          <w:szCs w:val="28"/>
        </w:rPr>
        <w:t xml:space="preserve"> на земельном участке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рекламораспространителем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должно быть обеспечено благоустройство территории в радиусе не менее 10 метров от места  размещения рекламной конструкции.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2.9.4. Ответственность за выполнение пунктов 2.9.2, 2.9.3, несут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рекламораспространители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собственники имущества, к которому присоединена рекламная конструкция.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2.9.5. Размещение информации, в том числе рекламной, а также объявлений на зеленых насаждениях запрещено.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Ответственность за размещение объявлений и информации, в том числе рекламной, несет как лицо, непосредственно разместившее объявление или информацию, в том числе рекламную, так и лицо, в интересах которого размещены объявление или информация, в том числе рекламную.</w:t>
      </w:r>
      <w:proofErr w:type="gramEnd"/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2.10. Нестационарные (некапитальные) сооружения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Нестационарными </w:t>
      </w:r>
      <w:r>
        <w:rPr>
          <w:rFonts w:ascii="Times New Roman" w:hAnsi="Times New Roman" w:cs="Times New Roman"/>
          <w:bCs/>
          <w:sz w:val="28"/>
          <w:szCs w:val="28"/>
        </w:rPr>
        <w:t>(некапитальными)</w:t>
      </w:r>
      <w:r>
        <w:rPr>
          <w:rFonts w:ascii="Times New Roman" w:hAnsi="Times New Roman" w:cs="Times New Roman"/>
          <w:sz w:val="28"/>
          <w:szCs w:val="28"/>
        </w:rPr>
        <w:t xml:space="preserve"> являются сооружения, представляющие собой временное сооружение или временную конструкцию, не связанные прочно с земельным участком, вне зависимости от присоединения или неприсоединения к сетям инженерно-технического обеспечения, в том числе передвижные (мобильные) сооружения – это киоски, павильоны, рекламные конструкции, остановочные павильоны, наземные туалетные кабины, гаражи, передвижные объекты потребительского рынка и иные аналогичные сооружения), не являющиеся объектами недвижимости, устанавливаемые на определенной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возможности быстрого изменения характера использования данной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 несоразмерного ущерба назначению объектов при их перемещении, время функционирования которых на данном участке предварительно было определено владельцем земельного участка на ограниченный срок.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Отделочные материалы нестационарных (некапитальных) сооружений должны отвечать санитарно-гигиеническим требованиям, нормам противопожарной безопасности, архитектурно-художественным требованиям дизайна и освещения, характеру сложившейся среды  и условиям долговременной эксплуатации. При остеклении витрин рекомендуется применять безосколочные, ударостойкие материалы,  безопасные упрочняющие многослойные пленочные покрытия, поликарбонатные стекла.</w:t>
      </w:r>
    </w:p>
    <w:p w:rsidR="00413102" w:rsidRDefault="00413102" w:rsidP="004131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2.10.2. Нестационарные (некапитальные) сооружения не должны нарушать архитектурный облик, создавать препятствия для целостного визуального восприятия фасадов зданий, объектов благоустройства, памятников и монументов, доминантных объектов архитектуры. При размещении нестационарных (некапитальных) сооружений в границах охранных зон зарегистрированных памятников культурного наследия </w:t>
      </w:r>
      <w:r>
        <w:rPr>
          <w:rFonts w:ascii="Times New Roman" w:hAnsi="Times New Roman" w:cs="Times New Roman"/>
          <w:sz w:val="28"/>
          <w:szCs w:val="28"/>
        </w:rPr>
        <w:lastRenderedPageBreak/>
        <w:t>(природы) и в зонах особо охраняемых природных территорий города параметры сооружений (высота, ширина, протяженность), функциональное назначение и прочие условия их размещения должны согласовываться с уполномоченными органами охраны памятников, природопользования и охраны окружающей среды.</w:t>
      </w:r>
    </w:p>
    <w:p w:rsidR="00413102" w:rsidRDefault="00413102" w:rsidP="004131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нестационарных (некапитальных) сооружений на территории, не должно мешать пешеходному движению, нарушать противопожарные требования, условия инсоляции территории и помещений, рядом с которыми они расположены, ухудшать визуальное восприятие среды  и благоустройство территории и застройки. </w:t>
      </w:r>
    </w:p>
    <w:p w:rsidR="00413102" w:rsidRDefault="00413102" w:rsidP="004131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 Не допускается размещение нестационарных (некапитальных) сооружений  в арках зданий, на газонах, площадках (детских, отдыха, спортивных, транспортных стоянок), посадочных площадках городского пассажирского транспорта, а также ближе 10 м от остановочных павильонов.</w:t>
      </w:r>
    </w:p>
    <w:p w:rsidR="00413102" w:rsidRDefault="00413102" w:rsidP="004131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2.10.4. Не допускается размещение информации, в том числе рекламной, на нестационарных (некапитальных) объектах, за исключением вывесок хозяйствующих субъектов, осуществляющих предпринимательскую деятельность в нестационарных (некапитальных) объектах, с обязательной информацией, установленной Федеральным законом «О защите прав потребителей».</w:t>
      </w:r>
    </w:p>
    <w:p w:rsidR="00413102" w:rsidRDefault="00413102" w:rsidP="004131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2.11. Требования к оформлению и оборудованию зданий и сооружений, содержанию фасадов зданий.</w:t>
      </w:r>
    </w:p>
    <w:p w:rsidR="00413102" w:rsidRDefault="00413102" w:rsidP="004131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2.11.1. Проектирование оформления и оборудования зданий и сооружений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домовых знаков, защитных сеток, информационных и рекламных конструкций и т.п.</w:t>
      </w:r>
    </w:p>
    <w:p w:rsidR="00413102" w:rsidRDefault="00413102" w:rsidP="004131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2.11.2. На зданиях и сооружения должны быть размещены  адресные указатели с наименованием улицы и номера домовладения. На многоквартирных жилых домах также должны быть установлены указатели номера подъезда и квартир.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2.11.3. Здания и сооружения должны находится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архитектурном 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определённом при их проектировании.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допускается: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самовольно изменять цветовое решение фасадов;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размещать на фасадах зданий вдоль магистральных улиц кондиционеры и антенны-«тарелки», иные установки, за исключением размещения указанных объектов в помещениях, не имеющих стен на дворовые фасады;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размещать информационные и рекламные конструкции совокупной площадью более 10 % площади фасада (включая оконные проемы и витрины) на фасадах объектов коммерческого назначения;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размещать информационные и рекламные конструкции на торцевых (боковых) фасадах зданий и сооружений, имеющих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-графическую отделку, предусмотренную проектом здания;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рекламно-информационное оформление окон и витрин зданий и сооружений с наружной стороны фасада;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размещать входные группы зданий жилого и общественного назначения непосредственно с выходом на пешеходный тротуар, если при этом ширина пешеходной части тротуара станет менее ширины, предусмотренной Правилами землепользования и застройки  для данной категории дороги или улицы. При механизированных способах очистки тротуаров минимальную ширину тротуаров следует принимать 3 метра;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размещать на прилегающих к зданиям земельных участках нестационарные (некапитальные) сооружения, нарушающие архитектурный облик зданий, создающие препятствия для целостного восприятия фасадов зданий.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2.11.4. Для обеспечения поверхностного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водоотовода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зданий и сооружений по их периметру рекомендуется предусматривать 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надежной гидроизоляцией. Уклон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рекомендуется принимать не менее 10% в сторону от здания. Ширину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зданий и сооружений рекомендуется принимать 0,8-1,2 м, в сложных геологических условиях (грунты с карстами) - 1,5-3 м. В случае примыкания здания к пешеходным коммуникациям, 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обычно выполняет тротуар с твердым видом покрытия.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2.11.5. При организации стока воды со скатных крыш через водосточные трубы рекомендуется: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допускать высоты свободного падения воды из выходного отверстия трубы более 200 мм;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предусматривать в местах стока воды из трубы на основные пешеходные коммуникации наличие твердого покрытия с уклоном не менее 5% в направлении водоотводных лотков, либо - устройство лотков в покрытии;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предусматривать устройство дренажа в местах стока воды из трубы на газон или иные мягкие виды покрытия.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2.11.6. Входные группы зданий жилого и общественного назначения должны быть оборудованы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2.11.7. Для защиты пешеходов и выступающих стеклянных витрин от падения снежного настила и сосулек с края крыши, а также падения плиток облицовки со стен отдельных зданий периода застройки до 70-х годов, рекомендуется предусматривать установку специальных защитных сеток на </w:t>
      </w:r>
      <w:r>
        <w:rPr>
          <w:rFonts w:ascii="Times New Roman" w:hAnsi="Times New Roman" w:cs="Times New Roman"/>
          <w:sz w:val="28"/>
          <w:szCs w:val="28"/>
        </w:rPr>
        <w:lastRenderedPageBreak/>
        <w:t>уровне второго этажа. Для предотвращения образования сосулек рекомендуется применение обогреваемого электрического контура по внешнему периметру крыши.</w:t>
      </w:r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2.12. Площадки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2.12.1. На территории  проектируются следующие виды площадок: для игр детей, отдыха взрослых, занятий спортом, установки мусоросборников, выгула и дрессировки собак, стоянок автомобилей. Размещение площадок в границах охранных зон зарегистрированных памятников культурного наследия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рекомендуется согласовывать с уполномоченными органами охраны памятников, природопользования и охраны окружающей среды.</w:t>
      </w: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Детские площадки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2.12.2. Детские площадки обычно предназначены для игр и активного отдыха детей разных возрастов: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(до 3 лет), дошкольного (до 7 лет), младшего и среднего школьного возраста (7-12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(12-16 лет) рекомендуется организация спортивно-игровых комплексов (микро-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скалодромы</w:t>
      </w:r>
      <w:proofErr w:type="spellEnd"/>
      <w:r>
        <w:rPr>
          <w:rFonts w:ascii="Times New Roman" w:hAnsi="Times New Roman" w:cs="Times New Roman"/>
          <w:sz w:val="28"/>
          <w:szCs w:val="28"/>
        </w:rPr>
        <w:t>, велодромы и т.п.) и оборудование специальных мест для катания на самокатах, роликовых досках и коньках.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Расстояние от окон жилых домов и общественных зданий до границ детских площадок дошкольного возраста рекомендуется принимать не менее 10 м, младшего и среднего школьного возраста - не менее 20 м, комплексных игровых площадок - не менее 40 м, спортивно-игровых комплексов - не менее 100 м. Детские площадки для дошкольного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возраста рекомендуется размещать на участке жилой застройки, площадки для младшего и среднего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школьного возраста, комплексные игровые площадки рекомендуется размещать на озелененных территориях группы или микрорайона, спортивно-игровые комплексы и места для катания - в парках жилого района.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2.12.4. Площадки для игр детей на территориях жилого назначения рекомендуется проектировать из расчета 0,5-0,7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1 жителя. Размеры и условия размещения площадок рекомендуется проектировать в зависимости от возрастных групп детей и места размещения жилой застройки.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2.12.5. Площадки для игр детей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возраста могут иметь незначительные размеры (50-75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), размещаться отдельно или совмещаться с площадками для тихого отдыха взрослых - в этом случае общую площадь площадки рекомендуется устанавливать не менее 80 кв.м.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2.12.6. Оптимальный размер игровых площадок рекомендуется устанавливать для детей дошкольного возраста - 70-150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школьного возраста - 100-300 кв.м, комплексных игровых площадок - 900-1600 кв.м. При этом возможно объединение площадок дошкольного возраста с </w:t>
      </w:r>
      <w:r>
        <w:rPr>
          <w:rFonts w:ascii="Times New Roman" w:hAnsi="Times New Roman" w:cs="Times New Roman"/>
          <w:sz w:val="28"/>
          <w:szCs w:val="28"/>
        </w:rPr>
        <w:lastRenderedPageBreak/>
        <w:t>площадками отдыха взрослых (размер площадки - не менее 150 кв.м). Соседствующие детские и взрослые площадки рекомендуется разделять густыми зелеными посадками и (или) декоративными стенками.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2.12.7. В условиях исторической или высокоплотной застройки размеры площадок могут отклоняться на 40 % в зависимости от имеющихся территориальных возможностей с компенсацией нормативных показателей на прилегающих территориях.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2.12.8. Детские площадки рекомендуется изолировать от транзитного пешеходного движения, проездов, разворотных площадок, гостевых стоянок, площадок для установки 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СанПиН, площадок мусоросборников - 15 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отстойно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-разворотных площадок на конечных остановках маршрутов  транспорта - не менее 50 м.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2.12.9. При реконструкции детских площадок, во избежание травматизма, рекомендуется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2.12.10. Обязательный перечень </w:t>
      </w:r>
      <w:hyperlink r:id="rId7" w:anchor="2131016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элементов благоустройства территории</w:t>
        </w:r>
      </w:hyperlink>
      <w:r>
        <w:rPr>
          <w:rFonts w:ascii="Times New Roman" w:hAnsi="Times New Roman" w:cs="Times New Roman"/>
          <w:sz w:val="28"/>
          <w:szCs w:val="28"/>
        </w:rPr>
        <w:t> на детской площадке обычно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2.12.11. Мягкие виды покрытия (песчаное, уплотненное песчаное на грунтовом основании или гравийной крошке, мягкое резиновое или мягкое синтетическое) рекомендуется предусматривать на детской площадке в местах расположения игрового оборудования и других местах, связанных с возможностью падения детей. Места установки скамеек рекомендуется оборудовать твердыми видами покрытия или фундаментом. При травяном покрытии площадок рекомендуется предусматривать пешеходные дорожки к оборудованию с твердым, мягким или комбинированным видами покрытия.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2.12.12. Собственники (балансодержатели) детских площадок или объектов, составляющих детскую площадку, обязаны обеспечить надлежащее содержание детских площадок, включая уборку территории и очистку урн по мере их наполнения, восстановление  поврежденных элементов в срок не более 10 дней со дня выявления повреждений, ежегодную окраску не позднее 1 мая.</w:t>
      </w: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>Площадки отдыха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2.12.13. Площадки отдыха предназначены для тихого отдыха и настольных игр взрослого населения, их следует размещать на участках жилой застройки, рекомендуется - на озелененных территориях жилой группы, в парках и лесопарках.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Площадки отдыха рекомендуется устанавливать проходными, примыкать к проездам, посадочным площадкам остановок, разворотным площадкам - между ними и площадкой отдыха рекомендуется предусматривать полосу озеленения (кустарник, деревья) не менее 3 м. Расстояние от границы площадки отдыха до мест хранения автомобилей следует принимать согласно СанПиН 2.2.1/2.1.1.1200,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отстойно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-разворотных площадок на конечных остановках маршрутов  транспорта - не менее 50 м. Расстояние от окон жилых домов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границ площадок тихого отдыха следует устанавливать не менее 10 м, площадок шумных настольных игр - не менее 25 м.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2.12.14. Площадки отдыха на жилых территориях следует проектировать из расчета 0,1-0,2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жителя. Оптимальный размер площадки 50-100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минимальный размер площадки отдыха - не менее 15-20 кв.м. Допускается совмещение площадок тихого отдыха с детскими площадками.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2.12.15. Обязательный перечень элементов благоустройства на площадке отдыха обычно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2.12.16. Покрытие площадки рекомендуется проектировать в виде плиточного мощения. При совмещении площадок отдыха и детских площадок не рекомендуется допускать устройство твердых видов покрытия в зоне детских игр.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2.12.17. Собственники (балансодержатели) площадок отдыха или объектов, составляющих площадку отдыха, обязаны обеспечить надлежащее содержание площадок, включая уборку территории и очистку урн по мере их наполнения, восстановление  поврежденных элементов в срок не более 10 дней со дня выявления повреждений, ежегодную окраску не позднее 1 мая.</w:t>
      </w:r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Спортивные площадки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2.12.18. Спортивные площадки предназначены для занятий физкультурой и спортом всех возрастных групп населения, их рекомендуется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рекомендуется вести в зависимости от вида специализации площадки. Расстояние от границы площадки до мест хранения легковых автомобилей следует принимать согласно СанПиН 2.2.1/2.1.1.1200.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2.12.19. Размещение и проектирование благоустройства спортивного ядра на территории участков общеобразовательных школ рекомендуется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вести с учетом обслуживания населения прилегающей жилой застройки. Минимальное расстояние от границ спортплощадок до окон жилых домов рекомендуется принимать от 20 до 40 м в зависимости от шумовых характеристик площадки. Комплексные физкультурно-спортивные площадки для детей дошкольного возраста (на 75 детей) рекомендуется устанавливать площадью не менее 150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школьного возраста (100 детей) - не менее 250 кв.м.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2.12.20. Обязательный перечень </w:t>
      </w:r>
      <w:hyperlink r:id="rId8" w:anchor="2131016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элементов благоустройства территории</w:t>
        </w:r>
      </w:hyperlink>
      <w:r>
        <w:rPr>
          <w:rFonts w:ascii="Times New Roman" w:hAnsi="Times New Roman" w:cs="Times New Roman"/>
          <w:sz w:val="28"/>
          <w:szCs w:val="28"/>
        </w:rPr>
        <w:t> на спортивной площадке включает: мягкие или газонные виды покрытия, спортивное оборудование. Рекомендуется озеленение и ограждение площадки.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2.12.21. Собственники (балансодержатели) спортивных площадок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объектов, составляющих спортивную площадку обязаны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обеспечить надлежащее содержание детских площадок, включая уборку территории и очистку урн по мере их наполнения, восстановление  поврежденных элементов в срок не более 10 дней со дня выявления повреждений, ежегодную окраску не позднее 1 мая.</w:t>
      </w:r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Площадки для установки мусоросборников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2.12.22. Площадки для установки мусоросборников - специально оборудованные места, предназначенные для сбора твердых бытовых отходов (ТБО).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2.12.23. Площадки следует размещать удаленными от окон жилых зданий, границ участков детских учреждений, мест отдыха на расстояние не менее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20 м, на участках жилой застройки - не далее 100 м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рекомендуется предусматривать возможность удобного подъезда транспорта для очистки контейнеров и наличия разворотных площадок (12 м х 12 м). Рекомендуется проектировать размещение площадок вне зоны видимости с транзитных транспортных и пешеходных коммуникаций, в стороне от уличных фасадов зданий. Территорию площадки рекомендуется располагать в зоне затенения (прилегающей застройкой, навесами или посадками зеленых насаждений).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2.12.24. Размер площадки на один контейнер рекомендуется принимать - 2-3 кв.м. Между контейнером и краем площадки размер прохода рекомендуется устанавливать не менее 1,0 м, между контейнерами - не менее 0,35 м.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2.12.25.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ТБО. Рекомендуется проектировать освещение и озеленение площадки.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2.12.26. Покрытие площадки следует устанавливать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аналогичным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покрытию транспортных проездов. Уклон покрытия площадки </w:t>
      </w:r>
      <w:r>
        <w:rPr>
          <w:rFonts w:ascii="Times New Roman" w:hAnsi="Times New Roman" w:cs="Times New Roman"/>
          <w:sz w:val="28"/>
          <w:szCs w:val="28"/>
        </w:rPr>
        <w:lastRenderedPageBreak/>
        <w:t>рекомендуется устанавливать составляющим 5-10% в сторону проезжей части, чтобы не допускать застаивания воды и скатывания контейнера.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2.12.27. 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1,0-1,2 м.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2.12.28. Контейнерная площадка должна иметь ограждение с трех сторон высотой не менее 1,6 метра, не допускающее попадание мусора на прилегающую территорию. Допускается изготовление контейнерных площадок закрытого типа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индивидуальным проектам</w:t>
      </w:r>
      <w:proofErr w:type="gramEnd"/>
      <w:r>
        <w:rPr>
          <w:rFonts w:ascii="Times New Roman" w:hAnsi="Times New Roman" w:cs="Times New Roman"/>
          <w:sz w:val="28"/>
          <w:szCs w:val="28"/>
        </w:rPr>
        <w:t>, согласованным в установленном порядке.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2.12.29. На каждом контейнере должна быть размещена информация о его балансодержателе (наименование и юридический адрес).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2.12.30. Балансодержатель контейнеров обязан обеспечить надлежащее состояние и уборку контейнерной площадки и прилегающей территории к ней в радиусе 10 метров, если иное не предусмотрено договором на вывоз твердых бытовых отходов.</w:t>
      </w: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Площадки автостоянок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2.12.31.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территории предусматриваются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«карманов» и отступов от проезжей части), гостевых (на участке жилой застройки), для хранения автомобилей населения (районные),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приобъектных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 объекта или группы объектов), прочих (грузовых, перехватывающих и др.).</w:t>
      </w:r>
      <w:proofErr w:type="gramEnd"/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2.12.32. Обязательный перечень элементов благоустройства территории на площадках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оборудование. На уличных парковках не устанавливается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осветительное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информационное оборудование является не обязательным.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2.12.33. Покрытие площадок рекомендуется проектировать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аналогичным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покрытию транспортных проездов.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2.12.34. Сопряжение покрытия площадки с проездом рекомендуется выполнять в одном уровне без укладки бортового камня, с газоном - в соответствии с </w:t>
      </w:r>
      <w:hyperlink r:id="rId9" w:anchor="243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 2.4.3</w:t>
        </w:r>
      </w:hyperlink>
      <w:r>
        <w:rPr>
          <w:rFonts w:ascii="Times New Roman" w:hAnsi="Times New Roman" w:cs="Times New Roman"/>
          <w:sz w:val="28"/>
          <w:szCs w:val="28"/>
        </w:rPr>
        <w:t> настоящих Правил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2.12.35. Разделительные элементы на площадках могут быть выполнены в виде разметки (белых полос), озелененных полос (газонов), контейнерного озеленения.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2.12.36. Не допускается проектирование автостоянок, размещение временных автостоянок за счет сноса зеленых насаждений, газонов или уменьшения площади озелененных территорий.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Раздел 3.Прилегающая территория</w:t>
      </w:r>
    </w:p>
    <w:p w:rsidR="00413102" w:rsidRDefault="00413102" w:rsidP="00413102"/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>
        <w:rPr>
          <w:rFonts w:ascii="Arial" w:hAnsi="Arial" w:cs="Arial"/>
          <w:color w:val="2D2D2D"/>
          <w:spacing w:val="1"/>
          <w:sz w:val="17"/>
          <w:szCs w:val="17"/>
        </w:rPr>
        <w:lastRenderedPageBreak/>
        <w:br/>
      </w:r>
      <w:r>
        <w:rPr>
          <w:spacing w:val="1"/>
          <w:sz w:val="28"/>
          <w:szCs w:val="28"/>
        </w:rPr>
        <w:t>3.1</w:t>
      </w:r>
      <w:r w:rsidRPr="00E7246B">
        <w:rPr>
          <w:spacing w:val="1"/>
          <w:sz w:val="28"/>
          <w:szCs w:val="28"/>
        </w:rPr>
        <w:t xml:space="preserve"> Граница прилегающей территории определяется в отношении территории общего пользования, которая прилегает (то есть имеет общую границу) к зданию, строению, сооружению, земельному участку, сведения о котором внесены в Единый государственный реестр недвижимости.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</w:r>
      <w:r>
        <w:rPr>
          <w:spacing w:val="1"/>
          <w:sz w:val="28"/>
          <w:szCs w:val="28"/>
        </w:rPr>
        <w:t>3.2</w:t>
      </w:r>
      <w:proofErr w:type="gramStart"/>
      <w:r w:rsidRPr="00E7246B">
        <w:rPr>
          <w:spacing w:val="1"/>
          <w:sz w:val="28"/>
          <w:szCs w:val="28"/>
        </w:rPr>
        <w:t xml:space="preserve"> В</w:t>
      </w:r>
      <w:proofErr w:type="gramEnd"/>
      <w:r w:rsidRPr="00E7246B">
        <w:rPr>
          <w:spacing w:val="1"/>
          <w:sz w:val="28"/>
          <w:szCs w:val="28"/>
        </w:rPr>
        <w:t xml:space="preserve"> границе прилегающей территории могут располагаться следующие территории общего пользования или их части: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1) пешеходные коммуникации, в том числе тротуары, аллеи, дорожки, тропинки;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2) палисадники, клумбы;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3) иные территории общего пользования, установленные правилами благоустройства, за исключением дорог, проездов и других транспортных коммуникаций, парков, скверов, бульваров, береговых полос, а также иных территорий, содержание которых является обязанностью правообладателя в соответствии с законодательством Российской Федерации.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</w:r>
      <w:r>
        <w:rPr>
          <w:spacing w:val="1"/>
          <w:sz w:val="28"/>
          <w:szCs w:val="28"/>
        </w:rPr>
        <w:t>3.3</w:t>
      </w:r>
      <w:proofErr w:type="gramStart"/>
      <w:r w:rsidRPr="00E7246B">
        <w:rPr>
          <w:spacing w:val="1"/>
          <w:sz w:val="28"/>
          <w:szCs w:val="28"/>
        </w:rPr>
        <w:t xml:space="preserve"> В</w:t>
      </w:r>
      <w:proofErr w:type="gramEnd"/>
      <w:r w:rsidRPr="00E7246B">
        <w:rPr>
          <w:spacing w:val="1"/>
          <w:sz w:val="28"/>
          <w:szCs w:val="28"/>
        </w:rPr>
        <w:t xml:space="preserve"> случае, если сведения о местоположении границ земельного участка внесены в Единый государственный реестр недвижимости, граница прилегающей территории определяется в метрах по периметру от границ такого земельного участка, в следующих значениях: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1) для надземных линейных объектов инженерной инфраструктуры - 5 метров по обе стороны;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2) для отдельно стоящих тепловых, трансформаторных подстанций, зданий и сооружений инженерно-технического назначения - 5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3) для земельных участков, предназначенных для строительства объектов капитального строительства, - 15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4) для хозяйствующих субъектов, являющихся правообладателями земельных участков, - 25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5) для гаражно-строительных кооперативов - 25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6) для жилых домов блокированной застройки, индивидуальных жилых домов с приусадебными земельными участками - 5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7) для индивидуальных жилых домов с приусадебными земельными участками, расположенных на пересечении улиц, переулков, проездов, - 5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lastRenderedPageBreak/>
        <w:br/>
        <w:t>8) для многоквартирных жилых домов, за исключением многоквартирных жилых домов, земельные участки под которыми не образованы или образованы по границам таких домов, - 15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9) для территории ведения гражданами садоводства или огородничества для собственных нужд - 25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10) для садовых или огородных земельных участков, предоставленных гражданам, осуществляющим ведение садоводства или огородничества без создания товарищества, - 5 метров.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</w:r>
      <w:r>
        <w:rPr>
          <w:spacing w:val="1"/>
          <w:sz w:val="28"/>
          <w:szCs w:val="28"/>
        </w:rPr>
        <w:t>3.4</w:t>
      </w:r>
      <w:proofErr w:type="gramStart"/>
      <w:r w:rsidR="00BE7A9C">
        <w:rPr>
          <w:spacing w:val="1"/>
          <w:sz w:val="28"/>
          <w:szCs w:val="28"/>
        </w:rPr>
        <w:t xml:space="preserve"> </w:t>
      </w:r>
      <w:r w:rsidRPr="00E7246B">
        <w:rPr>
          <w:spacing w:val="1"/>
          <w:sz w:val="28"/>
          <w:szCs w:val="28"/>
        </w:rPr>
        <w:t xml:space="preserve"> В</w:t>
      </w:r>
      <w:proofErr w:type="gramEnd"/>
      <w:r w:rsidRPr="00E7246B">
        <w:rPr>
          <w:spacing w:val="1"/>
          <w:sz w:val="28"/>
          <w:szCs w:val="28"/>
        </w:rPr>
        <w:t xml:space="preserve"> случае, если сведения о местоположении границ земельного участка не внесены в Единый государственный реестр недвижимости, граница прилегающей территории определяется в метрах по периметру от зданий, строений, сооружений в следующих значениях: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1) для хозяйствующих субъектов, осуществляющих торговую деятельность, оказывающих услуги общественного питания и бытовые услуги в некапитальных строениях, сооружениях, - 10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 xml:space="preserve">2) для хозяйствующих субъектов, не указанных </w:t>
      </w:r>
      <w:proofErr w:type="gramStart"/>
      <w:r w:rsidRPr="00E7246B">
        <w:rPr>
          <w:spacing w:val="1"/>
          <w:sz w:val="28"/>
          <w:szCs w:val="28"/>
        </w:rPr>
        <w:t>пункте</w:t>
      </w:r>
      <w:proofErr w:type="gramEnd"/>
      <w:r w:rsidRPr="00E7246B">
        <w:rPr>
          <w:spacing w:val="1"/>
          <w:sz w:val="28"/>
          <w:szCs w:val="28"/>
        </w:rPr>
        <w:t xml:space="preserve"> 1 настоящей части, - 40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3) для индивидуальных жилых домов - 20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4) для индивидуальных жилых домов, расположенных на пересечении улиц, проездов, переулков, - 20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5) для гаражно-строительных кооперативов - 40 метров.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</w:r>
      <w:r>
        <w:rPr>
          <w:spacing w:val="1"/>
          <w:sz w:val="28"/>
          <w:szCs w:val="28"/>
        </w:rPr>
        <w:t>3.5</w:t>
      </w:r>
      <w:proofErr w:type="gramStart"/>
      <w:r>
        <w:rPr>
          <w:spacing w:val="1"/>
          <w:sz w:val="28"/>
          <w:szCs w:val="28"/>
        </w:rPr>
        <w:t xml:space="preserve"> </w:t>
      </w:r>
      <w:r w:rsidRPr="00E7246B">
        <w:rPr>
          <w:spacing w:val="1"/>
          <w:sz w:val="28"/>
          <w:szCs w:val="28"/>
        </w:rPr>
        <w:t xml:space="preserve"> В</w:t>
      </w:r>
      <w:proofErr w:type="gramEnd"/>
      <w:r w:rsidRPr="00E7246B">
        <w:rPr>
          <w:spacing w:val="1"/>
          <w:sz w:val="28"/>
          <w:szCs w:val="28"/>
        </w:rPr>
        <w:t xml:space="preserve"> случае, если сведения о земельном участке внесены в Единый государственный реестр недвижимости без границ такого земельного участка, граница прилегающей территории определяется в метрах по периметру от зданий, строений, сооружений в следующих значениях: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1) для индивидуальных жилых домов - 20 метров;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  <w:t>2) для индивидуальных жилых домов, расположенных на пересечении улиц, проездов, переулков, - 20 метров.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  <w:r w:rsidRPr="00E7246B">
        <w:rPr>
          <w:spacing w:val="1"/>
          <w:sz w:val="28"/>
          <w:szCs w:val="28"/>
        </w:rPr>
        <w:br/>
      </w:r>
      <w:r>
        <w:rPr>
          <w:spacing w:val="1"/>
          <w:sz w:val="28"/>
          <w:szCs w:val="28"/>
        </w:rPr>
        <w:t>3.6</w:t>
      </w:r>
      <w:proofErr w:type="gramStart"/>
      <w:r w:rsidRPr="00E7246B">
        <w:rPr>
          <w:spacing w:val="1"/>
          <w:sz w:val="28"/>
          <w:szCs w:val="28"/>
        </w:rPr>
        <w:t xml:space="preserve"> П</w:t>
      </w:r>
      <w:proofErr w:type="gramEnd"/>
      <w:r w:rsidRPr="00E7246B">
        <w:rPr>
          <w:spacing w:val="1"/>
          <w:sz w:val="28"/>
          <w:szCs w:val="28"/>
        </w:rPr>
        <w:t>ри перекрытии (пересечении) площадей территорий, определенных в соответствии с настоящей статьей, граница прилегающих территорий устанавливаются на равном удалении от объектов, указанных в частях 3 и 4 настоящей статьи.</w:t>
      </w: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pacing w:val="1"/>
          <w:sz w:val="28"/>
          <w:szCs w:val="28"/>
        </w:rPr>
      </w:pPr>
    </w:p>
    <w:p w:rsidR="00E7246B" w:rsidRPr="00E7246B" w:rsidRDefault="00E7246B" w:rsidP="00E7246B">
      <w:pPr>
        <w:pStyle w:val="formattext"/>
        <w:shd w:val="clear" w:color="auto" w:fill="FFFFFF"/>
        <w:spacing w:before="0" w:beforeAutospacing="0" w:after="0" w:afterAutospacing="0" w:line="252" w:lineRule="atLeast"/>
        <w:textAlignment w:val="baseline"/>
        <w:rPr>
          <w:sz w:val="28"/>
          <w:szCs w:val="28"/>
        </w:rPr>
      </w:pPr>
      <w:r w:rsidRPr="00E7246B">
        <w:rPr>
          <w:spacing w:val="1"/>
          <w:sz w:val="28"/>
          <w:szCs w:val="28"/>
        </w:rPr>
        <w:br/>
      </w:r>
    </w:p>
    <w:p w:rsidR="00413102" w:rsidRDefault="00BE7A9C" w:rsidP="00413102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3.7  </w:t>
      </w:r>
      <w:r w:rsidR="00413102">
        <w:rPr>
          <w:sz w:val="28"/>
          <w:szCs w:val="28"/>
        </w:rPr>
        <w:t>Организации, управляющие жилищным фондом, иные юридические лица, индивидуальные предприниматели, собственники индивидуальных жилых домов и земельных участков обязаны заключить и иметь постоянно действующий договор на вывоз и размещение отходов производства и потребления со специализированными организациями, имеющими лицензию на сбор, использование, обезвреживание, транспортировку, размещение отходов I - IV класса опасности или с другой специализированной (не имеющей лицензии) организацией на вывоз и размещение</w:t>
      </w:r>
      <w:proofErr w:type="gramEnd"/>
      <w:r w:rsidR="00413102">
        <w:rPr>
          <w:sz w:val="28"/>
          <w:szCs w:val="28"/>
        </w:rPr>
        <w:t xml:space="preserve"> отходов V класса опасности.</w:t>
      </w:r>
    </w:p>
    <w:p w:rsidR="00413102" w:rsidRDefault="00BE7A9C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413102">
        <w:rPr>
          <w:rFonts w:ascii="Times New Roman" w:hAnsi="Times New Roman" w:cs="Times New Roman"/>
          <w:sz w:val="28"/>
          <w:szCs w:val="28"/>
        </w:rPr>
        <w:t xml:space="preserve"> Собственники объектов мелкорозничной торговли, бытового обслуживания и питания обязаны обеспечить работу осветительного оборудования, установки урн возле объектов, своевременную уборку урн и малых контейнеров, а также благоустройство и своевременную уборку территории в радиус</w:t>
      </w:r>
      <w:r>
        <w:rPr>
          <w:rFonts w:ascii="Times New Roman" w:hAnsi="Times New Roman" w:cs="Times New Roman"/>
          <w:sz w:val="28"/>
          <w:szCs w:val="28"/>
        </w:rPr>
        <w:t>е 4</w:t>
      </w:r>
      <w:r w:rsidR="00413102">
        <w:rPr>
          <w:rFonts w:ascii="Times New Roman" w:hAnsi="Times New Roman" w:cs="Times New Roman"/>
          <w:sz w:val="28"/>
          <w:szCs w:val="28"/>
        </w:rPr>
        <w:t>0 метров от нестационарного объекта. Ответственность за уборку территории в радиусе 20 метров от нестационарного (некапитального) объекта мелкорозничной торговли несут лица, осуществляющие торговлю.</w:t>
      </w:r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A9C" w:rsidRDefault="00BE7A9C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3.9</w:t>
      </w:r>
      <w:r w:rsidR="00413102">
        <w:rPr>
          <w:rFonts w:ascii="Times New Roman" w:hAnsi="Times New Roman" w:cs="Times New Roman"/>
          <w:sz w:val="28"/>
          <w:szCs w:val="28"/>
        </w:rPr>
        <w:t xml:space="preserve"> Размещение туалетных кабин рекомендуется предусматривать на активно посещаемых территориях населенного пункта при отсутствии или недостаточной пропускной способности общественных туалетов: в местах проведения массовых мероприятий, при крупных объектах торговли и услуг, на территории объектов рекреации (парках, садах), в местах установки городских АЗС, на автостоянках, а также - при нестационарных (некапитальных) сооружениях питания. </w:t>
      </w:r>
      <w:proofErr w:type="gramEnd"/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учитывать, что не допускается размещение туалетных кабин на придомовой территории, при этом расстояние до жилых и общественных зданий должно быть не менее 20 м. Туалетную кабину необходимо устанавливать на твердые виды покрытия.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Особые требования к доступности жилой среды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При проектировании объектов благоустройства жилой среды, улиц и дорог, объектов культурно-бытового обслуживания предусматривается доступность среды 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Проектирование, строительство, установка технических средств и оборудования, способствующих передвижению пожилых лиц и инвалидов,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 при новом строительстве заказчиком в соответствии с утвержденной проектной документацией.</w:t>
      </w:r>
    </w:p>
    <w:p w:rsidR="00413102" w:rsidRDefault="00413102" w:rsidP="00413102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5. Праздничное оформление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Праздничное оформление территории выполняется по решению Администрации района на  период проведения государственных  праздников, мероприятий, связанных со знаменательными событиями и праздничными датами.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зданий, сооружений осуществляется  их владельцами в рамках концепции праздничного оформления территории.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Праздничное оформление включает в себя: вывеску флагов, лозунгов, гирлянд, панно, установку декоративных элементов и композиций, стендов, трибун, эстрад, а также устройство праздничной иллюминаций.</w:t>
      </w:r>
      <w:proofErr w:type="gramEnd"/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Обязательными элементами праздничного оформления к празднованию Нового года являются размещение на фасадах,  в витринах гирлянд.          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земельного участка с выходом на улицы, собственникам объектов недвижимости на них расположенных, рекомендуется установить искусственную или натуральную ель или сосну, с украшением ее гирляндами (при наличии технической возможности) и игрушками (данные требования не распространяются на жилищный фонд).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Новогоднее праздничное оформление должно быть произведено к 20 декабря.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Праздничное оформление обязательно выполняется к празднованию Дня Победы и Дня района.</w:t>
      </w:r>
    </w:p>
    <w:p w:rsidR="00413102" w:rsidRDefault="00413102" w:rsidP="00BE7A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Обязательными элементами праздничного оформления к празднованию  являются символика.</w:t>
      </w:r>
    </w:p>
    <w:p w:rsidR="00413102" w:rsidRDefault="00413102" w:rsidP="0041310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6.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норм и правил благоустройства</w:t>
      </w:r>
    </w:p>
    <w:p w:rsidR="00413102" w:rsidRDefault="00413102" w:rsidP="00413102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Лица, нарушившие данные Правила, привлекаются к ответственности в соответствии кодексом об Административных правонарушениях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РФ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с законодательством Курской области   об административных правонарушениях.</w:t>
      </w:r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102" w:rsidRDefault="00413102" w:rsidP="004131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3102" w:rsidRDefault="00413102" w:rsidP="0041310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3102" w:rsidRDefault="00413102" w:rsidP="004131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3102" w:rsidRDefault="00413102" w:rsidP="0041310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3102" w:rsidRDefault="00413102" w:rsidP="0041310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0D0D" w:rsidRDefault="00BA0D0D"/>
    <w:sectPr w:rsidR="00BA0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02"/>
    <w:rsid w:val="00035A55"/>
    <w:rsid w:val="0010263C"/>
    <w:rsid w:val="00413102"/>
    <w:rsid w:val="00BA0D0D"/>
    <w:rsid w:val="00BE7A9C"/>
    <w:rsid w:val="00E7246B"/>
    <w:rsid w:val="00F3118F"/>
    <w:rsid w:val="00FC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24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131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13102"/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a3">
    <w:name w:val="Normal (Web)"/>
    <w:basedOn w:val="a"/>
    <w:uiPriority w:val="99"/>
    <w:semiHidden/>
    <w:unhideWhenUsed/>
    <w:rsid w:val="00413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semiHidden/>
    <w:rsid w:val="004131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4">
    <w:name w:val="Hyperlink"/>
    <w:basedOn w:val="a0"/>
    <w:uiPriority w:val="99"/>
    <w:semiHidden/>
    <w:unhideWhenUsed/>
    <w:rsid w:val="0041310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724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E72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3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24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131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13102"/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a3">
    <w:name w:val="Normal (Web)"/>
    <w:basedOn w:val="a"/>
    <w:uiPriority w:val="99"/>
    <w:semiHidden/>
    <w:unhideWhenUsed/>
    <w:rsid w:val="00413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semiHidden/>
    <w:rsid w:val="004131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4">
    <w:name w:val="Hyperlink"/>
    <w:basedOn w:val="a0"/>
    <w:uiPriority w:val="99"/>
    <w:semiHidden/>
    <w:unhideWhenUsed/>
    <w:rsid w:val="0041310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724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E72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3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1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001844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ant.ru/products/ipo/prime/doc/70018446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arant.ru/products/ipo/prime/doc/70018446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arant.ru/products/ipo/prime/doc/70018446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rant.ru/products/ipo/prime/doc/700184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9451</Words>
  <Characters>53874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2018-10-29T09:25:00Z</cp:lastPrinted>
  <dcterms:created xsi:type="dcterms:W3CDTF">2018-10-29T12:46:00Z</dcterms:created>
  <dcterms:modified xsi:type="dcterms:W3CDTF">2018-11-01T08:28:00Z</dcterms:modified>
</cp:coreProperties>
</file>